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spacing w:lineRule="exact" w:line="283"/>
        <w:ind w:hanging="0"/>
        <w:rPr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Механизм канатный переставной 2х50 322НБ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пгт. Новобурейский, микрорайон Гидростроителей.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Назначение: установка и демонтаж строительных затворов в пролетах водосливной плотины в период бетонирования. 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eastAsia="" w:cs="Times New Roman" w:eastAsiaTheme="minorEastAsia"/>
          <w:color w:val="000000"/>
          <w:kern w:val="0"/>
          <w:sz w:val="26"/>
          <w:szCs w:val="26"/>
          <w:shd w:fill="auto" w:val="clear"/>
          <w:lang w:val="ru-RU" w:eastAsia="ru-RU" w:bidi="ar-SA"/>
        </w:rPr>
        <w:t>С</w:t>
      </w:r>
      <w:r>
        <w:rPr>
          <w:rFonts w:cs="Times New Roman"/>
          <w:sz w:val="26"/>
          <w:szCs w:val="26"/>
          <w:shd w:fill="auto" w:val="clear"/>
        </w:rPr>
        <w:t xml:space="preserve">правочно: </w:t>
      </w:r>
      <w:r>
        <w:rPr>
          <w:rFonts w:eastAsia="" w:cs="Times New Roman" w:eastAsiaTheme="minorEastAsia"/>
          <w:color w:val="000000"/>
          <w:kern w:val="0"/>
          <w:sz w:val="26"/>
          <w:szCs w:val="26"/>
          <w:shd w:fill="auto" w:val="clear"/>
          <w:lang w:val="ru-RU" w:eastAsia="ru-RU" w:bidi="ar-SA"/>
        </w:rPr>
        <w:t>В</w:t>
      </w:r>
      <w:r>
        <w:rPr>
          <w:rFonts w:cs="Times New Roman"/>
          <w:sz w:val="26"/>
          <w:szCs w:val="26"/>
          <w:shd w:fill="auto" w:val="clear"/>
        </w:rPr>
        <w:t>ес: 31 200 кг.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highlight w:val="none"/>
          <w:shd w:fill="auto" w:val="clear"/>
        </w:rPr>
      </w:pPr>
      <w:r>
        <w:rPr>
          <w:rFonts w:cs="Times New Roman"/>
          <w:sz w:val="26"/>
          <w:szCs w:val="26"/>
          <w:shd w:fill="auto" w:val="clear"/>
        </w:rPr>
        <w:tab/>
        <w:t>Марка стали: 325-09Г2С.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  <w:t>В состав объекта входят: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  <w:t>1. Металлоконструкция колонны - 2 шт.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  <w:t>2.</w:t>
      </w:r>
      <w:r>
        <w:rPr>
          <w:rFonts w:eastAsia="" w:cs="Times New Roman" w:eastAsiaTheme="minorEastAsia"/>
          <w:color w:val="auto"/>
          <w:sz w:val="26"/>
          <w:szCs w:val="26"/>
          <w:lang w:val="ru-RU" w:eastAsia="ru-RU" w:bidi="ar-SA"/>
        </w:rPr>
        <w:t xml:space="preserve"> </w:t>
      </w:r>
      <w:r>
        <w:rPr>
          <w:rFonts w:cs="Times New Roman"/>
          <w:sz w:val="26"/>
          <w:szCs w:val="26"/>
        </w:rPr>
        <w:t>Привод состоящий из редуктора, тормоза, электродвигателя и каната - 2 шт.</w:t>
      </w:r>
    </w:p>
    <w:p>
      <w:pPr>
        <w:pStyle w:val="Normal"/>
        <w:tabs>
          <w:tab w:val="clear" w:pos="708"/>
          <w:tab w:val="left" w:pos="851" w:leader="none"/>
        </w:tabs>
        <w:spacing w:lineRule="exact" w:line="360" w:before="0" w:after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</w:rPr>
        <w:tab/>
        <w:t>3. Подхват - 2 шт.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rFonts w:ascii="Times New Roman" w:hAnsi="Times New Roman"/>
          <w:color w:val="000000"/>
        </w:rPr>
      </w:pPr>
      <w:r>
        <w:rPr>
          <w:b/>
          <w:bCs/>
          <w:i/>
          <w:iCs w:val="false"/>
          <w:color w:val="000000"/>
          <w:sz w:val="26"/>
          <w:szCs w:val="26"/>
          <w:shd w:fill="auto" w:val="clear"/>
        </w:rPr>
        <w:t>Начальная цена продажи: 221 430</w:t>
      </w:r>
      <w:r>
        <w:rPr>
          <w:b w:val="false"/>
          <w:bCs w:val="false"/>
          <w:i w:val="false"/>
          <w:iCs w:val="false"/>
          <w:color w:val="000000"/>
          <w:sz w:val="26"/>
          <w:szCs w:val="26"/>
          <w:shd w:fill="auto" w:val="clear"/>
        </w:rPr>
        <w:t xml:space="preserve"> (двести двадцать одна тысяча четыреста тридцать) рублей 00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2 214 (две тысячи двести четырнадцать) рублей 30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67 100 (шестьдесят семь тысяч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сто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) рублей 00 копеек с учетом НДС,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с начала приема заявок по «06» февраля 2026 г.</w:t>
      </w:r>
    </w:p>
    <w:p>
      <w:pPr>
        <w:pStyle w:val="Normal"/>
        <w:ind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«10» декабря 2025 г. 08 ч. 00 мин.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</w:t>
      </w:r>
      <w:r>
        <w:rPr>
          <w:sz w:val="26"/>
          <w:szCs w:val="26"/>
          <w:shd w:fill="auto" w:val="clear"/>
        </w:rPr>
        <w:t>вц</w:t>
      </w:r>
      <w:r>
        <w:rPr>
          <w:i w:val="false"/>
          <w:iCs w:val="false"/>
          <w:sz w:val="26"/>
          <w:szCs w:val="26"/>
          <w:shd w:fill="auto" w:val="clear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«06» февраля 2026 г. 16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«10» февраля 2026г.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«12» февраля 2026 г.10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«16» февраля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Application>AlterOffice/2025.3.0.0$Linux_X86_64 LibreOffice_project/4ba31b6a4271509a884f95065d0a726e9cb2bdbb</Application>
  <AppVersion>15.0000</AppVersion>
  <Pages>2</Pages>
  <Words>493</Words>
  <Characters>3313</Characters>
  <CharactersWithSpaces>3804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2025-12-09T11:25:57Z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