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открытого аукциона в электронной форме по продаже имущества </w:t>
      </w:r>
      <w:r>
        <w:rPr>
          <w:b/>
          <w:bCs/>
          <w:sz w:val="26"/>
          <w:szCs w:val="26"/>
          <w:u w:val="none"/>
        </w:rPr>
        <w:t>АО «Нижне-Бурейская ГЭС»</w:t>
      </w:r>
    </w:p>
    <w:p>
      <w:pPr>
        <w:pStyle w:val="Tableheader"/>
        <w:widowControl w:val="false"/>
        <w:ind w:firstLine="540"/>
        <w:rPr/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sz w:val="26"/>
          <w:szCs w:val="26"/>
        </w:rPr>
        <w:t xml:space="preserve">: </w:t>
      </w:r>
      <w:r>
        <w:rPr>
          <w:b w:val="false"/>
          <w:bCs w:val="false"/>
          <w:sz w:val="26"/>
          <w:szCs w:val="26"/>
        </w:rPr>
        <w:t xml:space="preserve">Акционерное общество «Нижне-Бурейская ГЭС»(АО «Нижне-Бурейская ГЭС»). Место нахождения: 676720, Амурская область, Бурейский район, пгт. Новобурейский, мкр. Гидростроителей, строение 2, литер 3. Почтовый адрес: 676722, Амурская область, Бурейский район, пгт. Новобурейский, а/я 19. Адрес электронной почты: </w:t>
      </w:r>
      <w:hyperlink r:id="rId2">
        <w:r>
          <w:rPr>
            <w:rStyle w:val="Hyperlink"/>
            <w:b w:val="false"/>
            <w:bCs w:val="false"/>
            <w:sz w:val="26"/>
            <w:szCs w:val="26"/>
          </w:rPr>
          <w:t>office@nbges.rushydro.ru</w:t>
        </w:r>
      </w:hyperlink>
      <w:r>
        <w:rPr>
          <w:rStyle w:val="Hyperlink"/>
          <w:b w:val="false"/>
          <w:bCs w:val="false"/>
          <w:sz w:val="26"/>
          <w:szCs w:val="26"/>
        </w:rPr>
        <w:t xml:space="preserve">. </w:t>
      </w:r>
      <w:r>
        <w:rPr>
          <w:b w:val="false"/>
          <w:bCs w:val="false"/>
          <w:sz w:val="26"/>
          <w:szCs w:val="26"/>
        </w:rPr>
        <w:t>Контактный телефон: (41634) 2 54 87.</w:t>
      </w:r>
    </w:p>
    <w:p>
      <w:pPr>
        <w:pStyle w:val="Tableheader"/>
        <w:widowControl w:val="false"/>
        <w:spacing w:lineRule="exact" w:line="283"/>
        <w:ind w:hanging="0"/>
        <w:rPr/>
      </w:pPr>
      <w:r>
        <w:rPr>
          <w:i/>
          <w:sz w:val="26"/>
          <w:szCs w:val="26"/>
        </w:rPr>
        <w:t>Предмет продажи:</w:t>
      </w:r>
      <w:r>
        <w:rPr>
          <w:b w:val="false"/>
          <w:bCs w:val="false"/>
          <w:i/>
          <w:color w:val="000000"/>
          <w:sz w:val="26"/>
          <w:szCs w:val="26"/>
          <w:shd w:fill="auto" w:val="clear"/>
        </w:rPr>
        <w:t xml:space="preserve"> </w:t>
      </w:r>
      <w:r>
        <w:rPr>
          <w:b/>
          <w:bCs/>
          <w:i w:val="false"/>
          <w:iCs w:val="false"/>
          <w:color w:val="000000"/>
          <w:sz w:val="26"/>
          <w:szCs w:val="26"/>
          <w:shd w:fill="auto" w:val="clear"/>
        </w:rPr>
        <w:t>Канализационные очистные сооружения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i w:val="false"/>
          <w:iCs w:val="false"/>
          <w:sz w:val="26"/>
          <w:szCs w:val="26"/>
        </w:rPr>
        <w:t>(Автоматизированный комплекс очистки хозйственно-бытовых сточных вод) ВАЛТРОН-ЭКО-БИО-25:</w:t>
      </w:r>
    </w:p>
    <w:p>
      <w:pPr>
        <w:pStyle w:val="Tableheader"/>
        <w:widowControl w:val="false"/>
        <w:spacing w:lineRule="exact" w:line="283"/>
        <w:ind w:hanging="0"/>
        <w:rPr/>
      </w:pPr>
      <w:r>
        <w:rPr>
          <w:b w:val="false"/>
          <w:bCs w:val="false"/>
          <w:sz w:val="26"/>
          <w:szCs w:val="26"/>
        </w:rPr>
        <w:t>1.1 Автоматизированный комплекс очистных сооружений по типу «ВАЛТРОН-ЭКО-БИО-25» в составе: блок обеззараживания.</w:t>
      </w:r>
    </w:p>
    <w:p>
      <w:pPr>
        <w:pStyle w:val="Tableheader"/>
        <w:widowControl w:val="false"/>
        <w:spacing w:lineRule="exact" w:line="283"/>
        <w:ind w:hanging="0"/>
        <w:rPr/>
      </w:pPr>
      <w:r>
        <w:rPr>
          <w:b w:val="false"/>
          <w:bCs w:val="false"/>
          <w:sz w:val="26"/>
          <w:szCs w:val="26"/>
        </w:rPr>
        <w:t>1.2. Автоматизированный комплекс очистных сооружений по типу «ВАЛТРОН-ЭКО-БИО-25» в составе: Блок основной очистки. Блок доочистки.</w:t>
      </w:r>
    </w:p>
    <w:p>
      <w:pPr>
        <w:pStyle w:val="Tableheader"/>
        <w:widowControl w:val="false"/>
        <w:spacing w:lineRule="exact" w:line="283"/>
        <w:ind w:hanging="0"/>
        <w:rPr/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  <w:t>1.3. Канализационная насосная станция полной заводской готовности производительностью 4-7 м3/час.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Адрес местонахождения предмета продажи: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Амурская область, Бурейский район, пгт. Новобурейский, микрорайон Гидростроителей.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Краткое описание Предмета продажи:</w:t>
      </w:r>
      <w:r>
        <w:rPr>
          <w:sz w:val="26"/>
          <w:szCs w:val="26"/>
        </w:rPr>
        <w:t xml:space="preserve"> </w:t>
      </w:r>
    </w:p>
    <w:p>
      <w:pPr>
        <w:pStyle w:val="Tableheader"/>
        <w:widowControl w:val="false"/>
        <w:ind w:firstLine="54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Канализационные очистные сооружения биологической очистки сточных вод производительностью 25 куб.м./сут. предназначены для очистки хозяйственно-бытовых сточных вод. Габаритны размеры 3,45х15,0х6,22 м. Установленная мощность технологического оборудования 12,2 кВт.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i/>
          <w:sz w:val="26"/>
          <w:szCs w:val="26"/>
          <w:shd w:fill="auto" w:val="clear"/>
        </w:rPr>
        <w:t xml:space="preserve">Обременения: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отсутствуют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rFonts w:ascii="Times New Roman" w:hAnsi="Times New Roman"/>
          <w:color w:val="000000"/>
        </w:rPr>
      </w:pPr>
      <w:r>
        <w:rPr>
          <w:b/>
          <w:bCs/>
          <w:i/>
          <w:iCs w:val="false"/>
          <w:color w:val="000000"/>
          <w:sz w:val="26"/>
          <w:szCs w:val="26"/>
          <w:shd w:fill="auto" w:val="clear"/>
        </w:rPr>
        <w:t>Начальная цена продажи: 4 759 134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 xml:space="preserve"> (четыре миллиона семьсот пятьдесят девять тысяч сто тридцать четыре) рубля 60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Шаг аукциона: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1% от начальной цены продажи, указанной в настоящем Извещении, что составляет 47 591 (сорок семь тысяч пятьсот девяносто один) рубль 35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fill="auto" w:val="clear"/>
        </w:rPr>
        <w:t>Размер задатка: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122 000 (сто двадцать две тысячи) рублей 00 копеек с учетом НДС,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Срок и порядок внесения задатка: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с начала приема заявок по «06» февраля 2026 г.</w:t>
      </w:r>
    </w:p>
    <w:p>
      <w:pPr>
        <w:pStyle w:val="Normal"/>
        <w:ind w:firstLine="540"/>
        <w:rPr>
          <w:sz w:val="26"/>
          <w:szCs w:val="26"/>
        </w:rPr>
      </w:pPr>
      <w:r>
        <w:rPr>
          <w:sz w:val="26"/>
          <w:szCs w:val="26"/>
        </w:rPr>
        <w:t>Информация об условиях внесения задатка приведена в Документации о продаже.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ab/>
        <w:t>Дата и время начала подачи Заявок</w:t>
      </w:r>
      <w:r>
        <w:rPr>
          <w:sz w:val="26"/>
          <w:szCs w:val="26"/>
        </w:rPr>
        <w:t>: «10» декабря 2025 г. 08 ч. 00 мин.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sz w:val="26"/>
          <w:szCs w:val="26"/>
        </w:rPr>
        <w:t>(по местному времени Прода</w:t>
      </w:r>
      <w:r>
        <w:rPr>
          <w:sz w:val="26"/>
          <w:szCs w:val="26"/>
          <w:shd w:fill="auto" w:val="clear"/>
        </w:rPr>
        <w:t>вц</w:t>
      </w:r>
      <w:r>
        <w:rPr>
          <w:i w:val="false"/>
          <w:iCs w:val="false"/>
          <w:sz w:val="26"/>
          <w:szCs w:val="26"/>
          <w:shd w:fill="auto" w:val="clear"/>
        </w:rPr>
        <w:t>а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>Дата и время окончания подачи Заявок</w:t>
      </w:r>
      <w:r>
        <w:rPr>
          <w:rFonts w:eastAsia="Lucida Sans Unicode"/>
          <w:i/>
          <w:iCs w:val="false"/>
          <w:kern w:val="2"/>
          <w:sz w:val="26"/>
          <w:szCs w:val="26"/>
          <w:shd w:fill="auto" w:val="clear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«06» февраля 2026 г. 16 ч. 00 мин.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>Дата окончания рассмотрения Заявок</w:t>
      </w:r>
      <w:r>
        <w:rPr>
          <w:rFonts w:eastAsia="Lucida Sans Unicode"/>
          <w:i/>
          <w:iCs w:val="false"/>
          <w:kern w:val="2"/>
          <w:sz w:val="26"/>
          <w:szCs w:val="26"/>
          <w:shd w:fill="auto" w:val="clear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«10» февраля 2026г.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 xml:space="preserve">Дата и время проведения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«12» февраля 2026 г.10 ч. 00 мин.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 xml:space="preserve">Время ожидания ценового предложения Участника: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30 (тридцать) минут от времени начала проведения аукциона.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Дата и время подведения итогов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«16» февраля 2026 г. в 10 ч. 00 мин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Место подведения итогов: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по адресу Продавца.</w:t>
      </w:r>
    </w:p>
    <w:p>
      <w:pPr>
        <w:pStyle w:val="Normal"/>
        <w:widowControl w:val="false"/>
        <w:spacing w:before="120" w:after="0"/>
        <w:ind w:hanging="0"/>
        <w:jc w:val="left"/>
        <w:rPr/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Наименование и адрес электронной торговой площадки для подачи Заявок: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u w:val="none"/>
          <w:shd w:fill="auto" w:val="clear"/>
        </w:rPr>
        <w:t xml:space="preserve">Акционерное общество «Российский аукционный дом» (АО «РАД»)             </w:t>
      </w:r>
      <w:hyperlink r:id="rId3">
        <w:r>
          <w:rPr>
            <w:rStyle w:val="Hyperlink"/>
            <w:rFonts w:eastAsia="Lucida Sans Unicode"/>
            <w:b w:val="false"/>
            <w:bCs w:val="false"/>
            <w:i w:val="false"/>
            <w:iCs w:val="false"/>
            <w:kern w:val="2"/>
            <w:sz w:val="26"/>
            <w:szCs w:val="26"/>
            <w:u w:val="none"/>
            <w:shd w:fill="auto" w:val="clear"/>
          </w:rPr>
          <w:t>www.lot-online.ru</w:t>
        </w:r>
      </w:hyperlink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Порядок и форма подачи Заявок:</w:t>
      </w:r>
      <w:r>
        <w:rPr>
          <w:sz w:val="26"/>
          <w:szCs w:val="26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Участники Аукциона</w:t>
      </w:r>
      <w:r>
        <w:rPr>
          <w:sz w:val="26"/>
          <w:szCs w:val="26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6"/>
          <w:szCs w:val="26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>
          <w:sz w:val="26"/>
          <w:szCs w:val="26"/>
        </w:rPr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/>
      </w:pPr>
      <w:r>
        <w:rPr>
          <w:b w:val="false"/>
          <w:bCs w:val="false"/>
          <w:sz w:val="26"/>
          <w:szCs w:val="26"/>
          <w:u w:val="none"/>
          <w:shd w:fill="auto" w:val="clear"/>
        </w:rPr>
        <w:t xml:space="preserve">Документация о продаже официально опубликована на сайте электронной торговой площадки Акционерное общество «Российский аукционный дом» (АО «РАД»в сети «Интернет» </w:t>
      </w:r>
      <w:hyperlink r:id="rId4">
        <w:r>
          <w:rPr>
            <w:rStyle w:val="Hyperlink"/>
            <w:b w:val="false"/>
            <w:bCs w:val="false"/>
            <w:sz w:val="26"/>
            <w:szCs w:val="26"/>
            <w:u w:val="none"/>
            <w:shd w:fill="auto" w:val="clear"/>
          </w:rPr>
          <w:t>www.lot-online.ru</w:t>
        </w:r>
      </w:hyperlink>
      <w:r>
        <w:rPr>
          <w:rStyle w:val="Hyperlink"/>
          <w:b w:val="false"/>
          <w:bCs w:val="false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/>
      </w:pPr>
      <w:r>
        <w:rPr>
          <w:rStyle w:val="Hyperlink"/>
          <w:b w:val="false"/>
          <w:bCs w:val="false"/>
          <w:color w:val="000000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nbges.rushydro.ru" TargetMode="External"/><Relationship Id="rId3" Type="http://schemas.openxmlformats.org/officeDocument/2006/relationships/hyperlink" Target="http://www.lot-online.ru/" TargetMode="External"/><Relationship Id="rId4" Type="http://schemas.openxmlformats.org/officeDocument/2006/relationships/hyperlink" Target="http://www.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AlterOffice/2025.3.0.0$Linux_X86_64 LibreOffice_project/4ba31b6a4271509a884f95065d0a726e9cb2bdbb</Application>
  <AppVersion>15.0000</AppVersion>
  <Pages>2</Pages>
  <Words>519</Words>
  <Characters>3689</Characters>
  <CharactersWithSpaces>4202</CharactersWithSpaces>
  <Paragraphs>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/>
  <dcterms:modified xsi:type="dcterms:W3CDTF">2025-12-08T15:43:36Z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