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ff0000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lang w:eastAsia="ru-RU"/>
        </w:rPr>
        <w:t xml:space="preserve">ПРОЕКТ</w:t>
      </w:r>
      <w:r>
        <w:rPr>
          <w:rFonts w:ascii="Times New Roman" w:hAnsi="Times New Roman" w:cs="Times New Roman"/>
          <w:b/>
          <w:color w:val="ff0000"/>
          <w:sz w:val="18"/>
          <w:szCs w:val="18"/>
          <w:lang w:eastAsia="ru-RU"/>
        </w:rPr>
      </w:r>
      <w:r>
        <w:rPr>
          <w:rFonts w:ascii="Times New Roman" w:hAnsi="Times New Roman" w:cs="Times New Roman"/>
          <w:b/>
          <w:color w:val="ff0000"/>
          <w:sz w:val="18"/>
          <w:szCs w:val="1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ДОГОВОР КУПЛИ-ПРОДАЖИ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 ____________________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«__» ___________ 20__ г.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/>
        <w:ind w:firstLine="708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торгов - Финансовый управляющий имуществом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Красниковой Ольги Алексеевны, дата рождения: 16.04.1956, место рождения: гор. Москва, СНИЛС: 006-178-381 40, ИНН: 781003680123, регистрация по месту жительства: г. Санкт-Петербург, ул. Благодатная, д. 34, кв. 89)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Попов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Дмитрий Андреевич (ИНН 352510317400, СНИЛС 127-470-915 66, адрес для направления корреспонденции: 160004, Вологодская обл., г. Вологда, А/Я 1, э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л.почта: Redxabk@yandex.ru, 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егистрационный номер в сводном государственном реестре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арбитражных управляющих – 20923), член Ассоциации СОАУ «Меркурий» (ОГРН 1037710023108, ИНН 7710458616, 125047, г. Москва, ул. 4-я Тверская-Ямская, д.2/11, стр. 2), действующий на основании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Решениея суда (Арбитражный суд города Санкт-Петербурга и Ленинградской области) 05.02.2025 (резолютивная часть объявлена 03.02.2025) по делу № А56-109531/2024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далее именуемый «Организатор торгов», с одной стороны и ___________________________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__, действующий на основании_______________________, именуемый далее «Претендент», с другой стороны, заключили настоящий договор о нижеследующем: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numPr>
          <w:ilvl w:val="0"/>
          <w:numId w:val="2"/>
        </w:numPr>
        <w:pBdr/>
        <w:tabs>
          <w:tab w:val="num" w:leader="none" w:pos="187"/>
        </w:tabs>
        <w:spacing w:after="0" w:line="240" w:lineRule="auto"/>
        <w:ind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Предмет договора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numPr>
          <w:ilvl w:val="1"/>
          <w:numId w:val="2"/>
        </w:numPr>
        <w:pBdr/>
        <w:spacing w:after="0" w:line="240" w:lineRule="auto"/>
        <w:ind w:firstLine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передает, а Покупатель принимает в собственность и о</w:t>
      </w:r>
      <w:r>
        <w:rPr>
          <w:rFonts w:ascii="Times New Roman" w:hAnsi="Times New Roman" w:cs="Times New Roman"/>
          <w:sz w:val="24"/>
          <w:szCs w:val="24"/>
        </w:rPr>
        <w:t xml:space="preserve">плачивает: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jc w:val="center"/>
        <w:tblW w:w="10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025"/>
        <w:gridCol w:w="2596"/>
      </w:tblGrid>
      <w:tr>
        <w:trPr>
          <w:jc w:val="center"/>
          <w:trHeight w:val="244"/>
        </w:trPr>
        <w:tc>
          <w:tcPr>
            <w:tcBorders/>
            <w:tcW w:w="52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лота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7025" w:type="dxa"/>
            <w:textDirection w:val="lrTb"/>
            <w:noWrap/>
          </w:tcPr>
          <w:p>
            <w:pPr>
              <w:pBdr/>
              <w:spacing/>
              <w:ind/>
              <w:contextualSpacing w:val="tru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59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W w:w="529" w:type="dxa"/>
            <w:vAlign w:val="center"/>
            <w:textDirection w:val="lrTb"/>
            <w:noWrap w:val="false"/>
          </w:tcPr>
          <w:p>
            <w:pPr>
              <w:pBdr/>
              <w:spacing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7025" w:type="dxa"/>
            <w:vAlign w:val="center"/>
            <w:textDirection w:val="lrTb"/>
            <w:noWrap/>
          </w:tcPr>
          <w:p>
            <w:pPr>
              <w:pStyle w:val="926"/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Здание, кадастровый номер: 53:18:0044501:181, назначение объекта недвижимости: Жилое, местоположение: Новгородская область, р-н Хвойнинский, д Заделье, ул Васильковая, д 7, площадь: 65.3 кв.м., вид права, доля в праве: собственность, вид объекта недвижимост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и: земельный участок, кадастровый номер: 53:18:0044501:30, виды разрешенного использования объекта недвижимости: для размещения жилого дома и хозяйственно - бытовых построек, местоположение: обл. Новгородская, р-н Хвойнинский, д. Заделье, ул. Васильковая, 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.7, площадь: 1108 кв.м., вид права, доля в праве: собственность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/>
            <w:tcW w:w="259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Реализуемое имущество приобретено в браке, является общим имуществом согласно статье 34 СК РФ. Статья 213.26 Федерального закона "О несостоятельности (банкротстве)" от 26.10.2002 N 127-ФЗ предусматривает реализацию общего имущества супругов как единого объе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кта, при этом указанная статья устанавливает правило согласно которому после реализации имущества половина стоимости подлежит передаче супругу должника.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Данный подход подтвержден постановлением пленума Верховного суда Российской Федерации от 25 декабря 2018 г. № 48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"О некоторых вопросах, связанных с особенностями формирования и распределения конкурсной массы в делах о банкротстве граждан".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"/>
        </w:numPr>
        <w:pBdr/>
        <w:spacing w:after="0" w:line="240" w:lineRule="auto"/>
        <w:ind w:firstLine="58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Продавец гарантирует, что до настоящего времени имущество, являющееся предметом настоящей сделки, никому не продано, не подарено, в споре и под арестом не состоит.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2"/>
        </w:numPr>
        <w:pBdr/>
        <w:spacing w:after="0" w:line="240" w:lineRule="auto"/>
        <w:ind w:firstLine="58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Право на заключение настоящего договора Покупатель приобрел в соответствии с протоколом о подведении итогов торгов от ______________г. по результатам электронных торгов, состоявшихся на электронной площадке</w:t>
      </w:r>
      <w:r>
        <w:rPr>
          <w:rFonts w:ascii="Times New Roman" w:hAnsi="Times New Roman" w:cs="Times New Roman"/>
          <w:sz w:val="22"/>
          <w:szCs w:val="22"/>
        </w:rPr>
        <w:t xml:space="preserve"> АО «Российский аукционный дом»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2"/>
        </w:numPr>
        <w:pBdr/>
        <w:spacing w:after="0" w:line="240" w:lineRule="auto"/>
        <w:ind w:firstLine="58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Покупателю известно состояние имущества, какие-либо претензии отсутствуют.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0" w:left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Плата по договору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</w:t>
      </w:r>
      <w:r>
        <w:rPr>
          <w:rFonts w:ascii="Times New Roman" w:hAnsi="Times New Roman" w:cs="Times New Roman"/>
          <w:b/>
          <w:sz w:val="22"/>
          <w:szCs w:val="22"/>
        </w:rPr>
        <w:t xml:space="preserve">Стоимость продаваемого имущества по итогам проведения торгов составляет ___ руб.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Цена продажи имущества является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Продавец засчитывает в общую стоимость передаваемого имущества сумму задатка в размере _____ руб., внесенного Покупателем в целях участия в торгах.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Покупатель оплачивает остаток стоимости имущества в размере _____ руб.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(____ – ____ = ______)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Покупатель обязуется оплатить Продавцу оставшуюся стоимость имущества в течение 30 (тридцати) календарных дней со дня подписания настоящего Договора.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Расчет между Продавцом и Покупателем будет производиться путем внесения денежных средств на расчетный счет Продавца, указанный в разделе 9 настоящего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2.4. В случае нарушения Покупателем сроков полной оплаты приобретенного имущества Продавец вправе отказаться от исполнения настоящего Договора и потребовать возмещения убытков. В этом случае сумма внесенного задатка не возвращается Покупателю.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numPr>
          <w:ilvl w:val="0"/>
          <w:numId w:val="6"/>
        </w:numPr>
        <w:pBdr/>
        <w:tabs>
          <w:tab w:val="num" w:leader="none" w:pos="187"/>
        </w:tabs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Передача Имущества и переход риска случайной гибели 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или случайного повреждения имущества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numPr>
          <w:ilvl w:val="1"/>
          <w:numId w:val="6"/>
        </w:numPr>
        <w:pBdr/>
        <w:tabs>
          <w:tab w:val="clear" w:leader="none" w:pos="720"/>
          <w:tab w:val="num" w:leader="none" w:pos="993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Передача имущества Покупателю осуществляется Продавцом в месте его нахождения.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6"/>
        </w:numPr>
        <w:pBdr/>
        <w:tabs>
          <w:tab w:val="clear" w:leader="none" w:pos="720"/>
          <w:tab w:val="num" w:leader="none" w:pos="993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Передача осуществляется в течение 14 дней с момента полной оплаты по настоящему Договору по передаточному акту, являющемуся неотъемлемой частью настоящего </w:t>
      </w:r>
      <w:r>
        <w:rPr>
          <w:rFonts w:ascii="Times New Roman" w:hAnsi="Times New Roman" w:cs="Times New Roman"/>
          <w:sz w:val="22"/>
          <w:szCs w:val="22"/>
        </w:rPr>
        <w:t xml:space="preserve">Договора. В случае уклонения Покупателя от приемки имущества / подписания передаточного акта в установленный срок, неблагоприятные последствия, которые могут возникнуть в связи с несвоевременным выполнением вышеуказанных действий лежат на самом Покупателе.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уклонения Покупателя от </w:t>
      </w:r>
      <w:r>
        <w:rPr>
          <w:rFonts w:ascii="Times New Roman" w:hAnsi="Times New Roman" w:cs="Times New Roman"/>
          <w:sz w:val="22"/>
          <w:szCs w:val="22"/>
        </w:rPr>
        <w:t xml:space="preserve">приемки имущества / подписания передаточного акта в установленный срок Продавец вправе взыскать с Покупателя расходы, понесенные в связи содержанием имущества (например, оплата парковочного места за пределами установленного срока приемки имущества и иное).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6"/>
        </w:numPr>
        <w:pBdr/>
        <w:tabs>
          <w:tab w:val="clear" w:leader="none" w:pos="720"/>
          <w:tab w:val="num" w:leader="none" w:pos="993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Покупатель несёт бремя расходов, связанных с заключением настоящего Договора и регистрацией имущества.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6"/>
        </w:numPr>
        <w:pBdr/>
        <w:tabs>
          <w:tab w:val="num" w:leader="none" w:pos="0"/>
          <w:tab w:val="clear" w:leader="none" w:pos="720"/>
          <w:tab w:val="num" w:leader="none" w:pos="993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Право собственности у Покупателя на имущество возникает с момента подписания передаточного акта обеими Сторонами.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numPr>
          <w:ilvl w:val="1"/>
          <w:numId w:val="6"/>
        </w:numPr>
        <w:pBdr/>
        <w:tabs>
          <w:tab w:val="num" w:leader="none" w:pos="0"/>
          <w:tab w:val="clear" w:leader="none" w:pos="720"/>
          <w:tab w:val="num" w:leader="none" w:pos="993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Покупатель обязан переоформить имущество в регистрирующем органе в течение 10 дней с момента подписания передаточного акта. </w:t>
      </w:r>
      <w:r>
        <w:rPr>
          <w:rFonts w:ascii="Times New Roman" w:hAnsi="Times New Roman" w:cs="Times New Roman"/>
          <w:sz w:val="22"/>
          <w:szCs w:val="22"/>
        </w:rPr>
        <w:t xml:space="preserve">В случае уклонения Покупателя от переоформления имущества в регистрирующем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органе в установленный срок, Продавец вправе взыскать с Покупателя убытки (излишне начисленные налоги и иные).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numPr>
          <w:ilvl w:val="1"/>
          <w:numId w:val="6"/>
        </w:numPr>
        <w:pBdr/>
        <w:tabs>
          <w:tab w:val="clear" w:leader="none" w:pos="720"/>
          <w:tab w:val="num" w:leader="none" w:pos="993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Риск случайной гибели или случайного повреждения имущества переходит на Покупателя с момента подписания передаточного акта обеими Сторонами.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numPr>
          <w:ilvl w:val="0"/>
          <w:numId w:val="6"/>
        </w:numPr>
        <w:pBdr/>
        <w:tabs>
          <w:tab w:val="num" w:leader="none" w:pos="187"/>
        </w:tabs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Ответственность Сторон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Любая из Сторон настоящего Договора, не исполнившая обязательства по Договору или исполнившая их ненадлежащим образом, несет ответственность при наличии вины (умысла или неосторожности).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 Отсутствие вины за неисполнение или ненадлежащее исполнение обязательств по Договору доказывается стороной, нарушившей обязательства.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4.3. Сторона, не исполнившая или ненадлежащим образом исполнившая свои обязательства по договору при выполнении его у</w:t>
      </w:r>
      <w:r>
        <w:rPr>
          <w:rFonts w:ascii="Times New Roman" w:hAnsi="Times New Roman" w:cs="Times New Roman"/>
          <w:sz w:val="22"/>
          <w:szCs w:val="22"/>
        </w:rPr>
        <w:t xml:space="preserve">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 при конкретных условиях конкретного периода времени.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4.4. Меры ответственности сторон, не предусмотренные настоящим договором, применяются в соответствии с нормами гражданского законодательства, действующего на территории РФ.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numPr>
          <w:ilvl w:val="0"/>
          <w:numId w:val="3"/>
        </w:numPr>
        <w:pBdr/>
        <w:tabs>
          <w:tab w:val="num" w:leader="none" w:pos="187"/>
        </w:tabs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Порядок разрешения споров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Споры и разноглас</w:t>
      </w:r>
      <w:r>
        <w:rPr>
          <w:rFonts w:ascii="Times New Roman" w:hAnsi="Times New Roman" w:cs="Times New Roman"/>
          <w:sz w:val="22"/>
          <w:szCs w:val="22"/>
        </w:rPr>
        <w:t xml:space="preserve">ия, которые могут возникнуть при исполнении настоящего договора, будут по возможности разрешаться путем переговоров между сторонами. При этом каждая из сторон вправе претендовать на наличие у нее результатов разрешения возникших вопросов в письменном виде.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5.2. Споры между сторонами, не урегулированные путем переговоров, подлежат разрешению в суде.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6.   Изменение и/или дополнение договора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tabs>
          <w:tab w:val="num" w:leader="none" w:pos="3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6.1.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сторон, либо по решению суда.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6.2. Соглашения о дополнении, изменении или о расторжении Договора совершаются в письменной форме, должны быть подписаны сторонами и скреплены печатями.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6.3. Требование об изменении или о </w:t>
      </w:r>
      <w:r>
        <w:rPr>
          <w:rFonts w:ascii="Times New Roman" w:hAnsi="Times New Roman" w:cs="Times New Roman"/>
          <w:sz w:val="22"/>
          <w:szCs w:val="22"/>
        </w:rPr>
        <w:t xml:space="preserve">расторжении договора может быть заявлено в суд стороной только после получения отказа другой стороны на предложение изменить или расторгнуть договор, либо при неполучении ответа в срок, указанный в предложении, а при его отсутствии, - в 30-ти дневный срок.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6.4. Настоящий договор может быть ра</w:t>
      </w:r>
      <w:r>
        <w:rPr>
          <w:rFonts w:ascii="Times New Roman" w:hAnsi="Times New Roman" w:cs="Times New Roman"/>
          <w:sz w:val="22"/>
          <w:szCs w:val="22"/>
        </w:rPr>
        <w:t xml:space="preserve">сторгнут судом по требованию одной из сторон договора при существенном нарушении условий договора одной из сторон, или в иных случаях, предусмотренных настоящим договором или действующим законодательством. Нарушение условий договора признается существенным</w:t>
      </w:r>
      <w:r>
        <w:rPr>
          <w:rFonts w:ascii="Times New Roman" w:hAnsi="Times New Roman" w:cs="Times New Roman"/>
          <w:sz w:val="22"/>
          <w:szCs w:val="22"/>
        </w:rPr>
        <w:t xml:space="preserve">, когда одна из сторон допустила действие или бездействие, которое влечет для другой   стороны такой ущерб, что дальнейшее действие договора теряет смысл, поскольку эта сторона в значительной мере лишается того, на что рассчитывала при заключении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6.5. Настоящий договор может быть расторгнут по соглашению его сторон или по решению суда, если в период его действия произошло существенное изменение обстоятельств, из которых стороны исходили при заключении договора, настолько, </w:t>
      </w:r>
      <w:r>
        <w:rPr>
          <w:rFonts w:ascii="Times New Roman" w:hAnsi="Times New Roman" w:cs="Times New Roman"/>
          <w:sz w:val="22"/>
          <w:szCs w:val="22"/>
        </w:rPr>
        <w:t xml:space="preserve">что</w:t>
      </w:r>
      <w:r>
        <w:rPr>
          <w:rFonts w:ascii="Times New Roman" w:hAnsi="Times New Roman" w:cs="Times New Roman"/>
          <w:sz w:val="22"/>
          <w:szCs w:val="22"/>
        </w:rPr>
        <w:t xml:space="preserve"> если бы такие изменения можно было предвидеть заранее, договор между его сторонами вообще не был бы заключен или был бы заключен на условиях, значительно отличающихся от согласованных по настоящему договору.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6.6. Последств</w:t>
      </w:r>
      <w:r>
        <w:rPr>
          <w:rFonts w:ascii="Times New Roman" w:hAnsi="Times New Roman" w:cs="Times New Roman"/>
          <w:sz w:val="22"/>
          <w:szCs w:val="22"/>
        </w:rPr>
        <w:t xml:space="preserve">ия расторжения настоящего договора определяются соглашением его сторон или судом по требованию любой из сторон договора. При изменении договора, обязательства сторон сохраняются в измененном виде. При расторжении договора обязательства сторон прекращаются.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7.   Срок действия договора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7.1. Настоящий Договор вступает в силу с момента подписания обеими Сторонами и действует до полного выполнения Сторонами своих обязательств по нему.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7.2. Прекращение действия настоящего Договора влечет за собой прекращение обязательств Сторон по нему, но не освобождает Стороны от ответственности за нарушения, если таковые имели место при заключении или исполнении настоящего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numPr>
          <w:ilvl w:val="0"/>
          <w:numId w:val="5"/>
        </w:numPr>
        <w:pBdr/>
        <w:tabs>
          <w:tab w:val="num" w:leader="none" w:pos="187"/>
        </w:tabs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Иные условия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5"/>
        <w:numPr>
          <w:ilvl w:val="1"/>
          <w:numId w:val="5"/>
        </w:numPr>
        <w:pBdr/>
        <w:spacing w:after="0" w:line="240" w:lineRule="auto"/>
        <w:ind w:firstLine="708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Стороны по настоящему Договору признают переписку посредством электронной почты надлежащим способом обмена документами.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5"/>
        <w:numPr>
          <w:ilvl w:val="1"/>
          <w:numId w:val="5"/>
        </w:numPr>
        <w:pBdr/>
        <w:spacing w:after="0" w:line="240" w:lineRule="auto"/>
        <w:ind w:firstLine="708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</w:rPr>
        <w:t xml:space="preserve">Споры, возникшие в результате действия настоящего договора, разрешаются в установленном порядке судом, находящимся по территориальности в городе Вологде (договорная подсудность).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925"/>
        <w:numPr>
          <w:ilvl w:val="1"/>
          <w:numId w:val="5"/>
        </w:numPr>
        <w:pBdr/>
        <w:spacing w:after="0" w:line="240" w:lineRule="auto"/>
        <w:ind w:firstLine="708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двух экземплярах,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по одному экземпляру для каждой из сторон настоящего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pacing w:val="2"/>
          <w:sz w:val="22"/>
          <w:szCs w:val="22"/>
          <w:highlight w:val="none"/>
        </w:rPr>
      </w:r>
      <w:r>
        <w:rPr>
          <w:rFonts w:ascii="Times New Roman" w:hAnsi="Times New Roman" w:cs="Times New Roman"/>
          <w:spacing w:val="2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5"/>
        </w:numPr>
        <w:pBdr/>
        <w:tabs>
          <w:tab w:val="num" w:leader="none" w:pos="187"/>
        </w:tabs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Подписи сторон: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10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4951"/>
      </w:tblGrid>
      <w:tr>
        <w:trPr>
          <w:trHeight w:val="125"/>
        </w:trPr>
        <w:tc>
          <w:tcPr>
            <w:shd w:val="clear" w:color="auto" w:fill="auto"/>
            <w:tcBorders/>
            <w:tcW w:w="5385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Продавец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495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Покупатель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3676"/>
        </w:trPr>
        <w:tc>
          <w:tcPr>
            <w:shd w:val="clear" w:color="auto" w:fill="auto"/>
            <w:tcBorders/>
            <w:tcW w:w="53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Финансовый управляющий имуществом Красниковой Ольги Алексеевны, дата рождения: 16.04.1956, место рождения: гор. Москва, СНИЛС: 006-178-381 40, ИНН: 781003680123, регистрация по месту жительства: г. Санкт-Петербург, ул. Благодатная, д. 34, кв. 89) Попов Дмит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рий Андреевич (ИНН 352510317400, СНИЛС 127-470-915 66, адрес для направления корреспонденции: 160004, Вологодская обл., г. Вологда, А/Я 1, эл.почта: Redxabk@yandex.ru,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Банковские реквизиты: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Вологодское отделение № 8638 ПАО Сбербанк, кор.счет: 30101810900000000644, БИК банка: 041909644, КПП банка: 352502001, ИНН банка: 7707083893, счет получателя: 40817810112002726398, получатель Красникова Ольга Алексеевна, ИНН получателя: 781003680123.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4951" w:type="dxa"/>
            <w:textDirection w:val="lrTb"/>
            <w:noWrap w:val="false"/>
          </w:tcPr>
          <w:p>
            <w:pPr>
              <w:pStyle w:val="923"/>
              <w:widowControl w:val="true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Электронная почта для переписки: 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Контактный телефон: 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156"/>
        </w:trPr>
        <w:tc>
          <w:tcPr>
            <w:shd w:val="clear" w:color="auto" w:fill="auto"/>
            <w:tcBorders/>
            <w:tcW w:w="5385" w:type="dxa"/>
            <w:textDirection w:val="lrTb"/>
            <w:noWrap w:val="false"/>
          </w:tcPr>
          <w:p>
            <w:pPr>
              <w:pBdr/>
              <w:tabs>
                <w:tab w:val="left" w:leader="none" w:pos="3760"/>
              </w:tabs>
              <w:spacing w:after="0" w:line="240" w:lineRule="auto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Конкурсный управляющий 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23"/>
              <w:widowControl w:val="true"/>
              <w:pBdr/>
              <w:spacing/>
              <w:ind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23"/>
              <w:widowControl w:val="true"/>
              <w:pBdr/>
              <w:spacing/>
              <w:ind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23"/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_____________________Д.А. Попов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/>
            <w:tcW w:w="4951" w:type="dxa"/>
            <w:textDirection w:val="lrTb"/>
            <w:noWrap w:val="false"/>
          </w:tcPr>
          <w:p>
            <w:pPr>
              <w:pStyle w:val="923"/>
              <w:widowControl w:val="true"/>
              <w:pBdr/>
              <w:spacing/>
              <w: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3"/>
              <w:widowControl w:val="true"/>
              <w:pBdr/>
              <w:spacing/>
              <w: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3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923"/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_______________________(__________________)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923"/>
              <w:widowControl w:val="true"/>
              <w:pBdr/>
              <w:spacing/>
              <w: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Bdr/>
        <w:spacing w:after="0" w:line="240" w:lineRule="auto"/>
        <w:ind w:left="4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sectPr>
      <w:footerReference w:type="default" r:id="rId9"/>
      <w:footnotePr/>
      <w:endnotePr/>
      <w:type w:val="nextPage"/>
      <w:pgSz w:h="16838" w:orient="portrait" w:w="11906"/>
      <w:pgMar w:top="426" w:right="566" w:bottom="1135" w:left="993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pBdr/>
      <w:spacing/>
      <w:ind/>
      <w:jc w:val="center"/>
      <w:rPr>
        <w:rFonts w:ascii="Times New Roman" w:hAnsi="Times New Roman" w:cs="Times New Roman"/>
        <w:sz w:val="18"/>
        <w:szCs w:val="18"/>
      </w:rPr>
    </w:pPr>
    <w:fldSimple w:instr="PAGE \* MERGEFORMAT">
      <w:r>
        <w:rPr>
          <w:rFonts w:ascii="Times New Roman" w:hAnsi="Times New Roman" w:eastAsia="Times New Roman" w:cs="Times New Roman"/>
          <w:sz w:val="18"/>
          <w:szCs w:val="18"/>
        </w:rPr>
        <w:t xml:space="preserve">1</w:t>
      </w:r>
    </w:fldSimple>
    <w:r>
      <w:rPr>
        <w:rFonts w:ascii="Times New Roman" w:hAnsi="Times New Roman" w:eastAsia="Times New Roman" w:cs="Times New Roman"/>
        <w:sz w:val="18"/>
        <w:szCs w:val="18"/>
      </w:rPr>
    </w:r>
    <w:r>
      <w:rPr>
        <w:rFonts w:ascii="Times New Roman" w:hAnsi="Times New Roman" w:eastAsia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772"/>
      <w:pBdr/>
      <w:spacing/>
      <w:ind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00"/>
        </w:tabs>
        <w:spacing/>
        <w:ind w:hanging="360" w:left="30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600"/>
        </w:tabs>
        <w:spacing/>
        <w:ind w:hanging="720" w:left="60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540"/>
        </w:tabs>
        <w:spacing/>
        <w:ind w:hanging="720" w:left="5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840"/>
        </w:tabs>
        <w:spacing/>
        <w:ind w:hanging="1080" w:left="8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780"/>
        </w:tabs>
        <w:spacing/>
        <w:ind w:hanging="1080" w:left="7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080"/>
        </w:tabs>
        <w:spacing/>
        <w:ind w:hanging="1440" w:left="1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020"/>
        </w:tabs>
        <w:spacing/>
        <w:ind w:hanging="1440" w:left="102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320"/>
        </w:tabs>
        <w:spacing/>
        <w:ind w:hanging="1800" w:left="132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3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  <w:b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/>
        <w:b w:val="0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/>
        <w:b w:val="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  <w:b w:val="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  <w:b w:val="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  <w:b w:val="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  <w:b w:val="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1800" w:left="2160"/>
      </w:pPr>
      <w:rPr>
        <w:rFonts w:hint="default"/>
        <w:b w:val="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  <w:sz w:val="22"/>
      </w:rPr>
      <w:start w:val="8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776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24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3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18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888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236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4944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480"/>
        </w:tabs>
        <w:spacing/>
        <w:ind w:hanging="480" w:left="48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20"/>
        </w:tabs>
        <w:spacing/>
        <w:ind w:hanging="480" w:left="1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-360"/>
        </w:tabs>
        <w:spacing/>
        <w:ind w:hanging="720" w:left="-36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-360"/>
        </w:tabs>
        <w:spacing/>
        <w:ind w:hanging="1080" w:left="-3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-720"/>
        </w:tabs>
        <w:spacing/>
        <w:ind w:hanging="1080" w:left="-72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-720"/>
        </w:tabs>
        <w:spacing/>
        <w:ind w:hanging="1440" w:left="-7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-1080"/>
        </w:tabs>
        <w:spacing/>
        <w:ind w:hanging="1440" w:left="-10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-1080"/>
        </w:tabs>
        <w:spacing/>
        <w:ind w:hanging="1800" w:left="-10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480"/>
        </w:tabs>
        <w:spacing/>
        <w:ind w:hanging="480" w:left="48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20"/>
        </w:tabs>
        <w:spacing/>
        <w:ind w:hanging="480" w:left="1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-360"/>
        </w:tabs>
        <w:spacing/>
        <w:ind w:hanging="720" w:left="-36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-360"/>
        </w:tabs>
        <w:spacing/>
        <w:ind w:hanging="1080" w:left="-3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-720"/>
        </w:tabs>
        <w:spacing/>
        <w:ind w:hanging="1080" w:left="-72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-720"/>
        </w:tabs>
        <w:spacing/>
        <w:ind w:hanging="1440" w:left="-7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-1080"/>
        </w:tabs>
        <w:spacing/>
        <w:ind w:hanging="1440" w:left="-10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-1080"/>
        </w:tabs>
        <w:spacing/>
        <w:ind w:hanging="1800" w:left="-10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20"/>
    <w:uiPriority w:val="99"/>
    <w:semiHidden/>
    <w:pPr>
      <w:pBdr/>
      <w:spacing/>
      <w:ind/>
    </w:pPr>
    <w:rPr>
      <w:color w:val="666666"/>
    </w:rPr>
  </w:style>
  <w:style w:type="character" w:styleId="735">
    <w:name w:val="Intense Emphasis"/>
    <w:basedOn w:val="9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9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9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920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920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9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9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9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>
    <w:name w:val="Heading 1"/>
    <w:basedOn w:val="919"/>
    <w:next w:val="919"/>
    <w:link w:val="7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basedOn w:val="920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5">
    <w:name w:val="Heading 2"/>
    <w:basedOn w:val="919"/>
    <w:next w:val="919"/>
    <w:link w:val="7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basedOn w:val="920"/>
    <w:link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7">
    <w:name w:val="Heading 3"/>
    <w:basedOn w:val="919"/>
    <w:next w:val="91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basedOn w:val="920"/>
    <w:link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919"/>
    <w:next w:val="919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20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19"/>
    <w:next w:val="919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basedOn w:val="920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19"/>
    <w:next w:val="919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20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19"/>
    <w:next w:val="919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20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19"/>
    <w:next w:val="919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20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19"/>
    <w:next w:val="919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20"/>
    <w:link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pBdr/>
      <w:spacing w:after="0" w:before="0" w:line="240" w:lineRule="auto"/>
      <w:ind/>
    </w:pPr>
  </w:style>
  <w:style w:type="paragraph" w:styleId="762">
    <w:name w:val="Title"/>
    <w:basedOn w:val="919"/>
    <w:next w:val="919"/>
    <w:link w:val="7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3">
    <w:name w:val="Title Char"/>
    <w:basedOn w:val="920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919"/>
    <w:next w:val="919"/>
    <w:link w:val="7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5">
    <w:name w:val="Subtitle Char"/>
    <w:basedOn w:val="920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919"/>
    <w:next w:val="919"/>
    <w:link w:val="767"/>
    <w:uiPriority w:val="29"/>
    <w:qFormat/>
    <w:pPr>
      <w:pBdr/>
      <w:spacing/>
      <w:ind w:right="720" w:left="720"/>
    </w:pPr>
    <w:rPr>
      <w:i/>
    </w:rPr>
  </w:style>
  <w:style w:type="character" w:styleId="767">
    <w:name w:val="Quote Char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919"/>
    <w:next w:val="919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9">
    <w:name w:val="Intense Quote Char"/>
    <w:link w:val="768"/>
    <w:uiPriority w:val="30"/>
    <w:pPr>
      <w:pBdr/>
      <w:spacing/>
      <w:ind/>
    </w:pPr>
    <w:rPr>
      <w:i/>
    </w:rPr>
  </w:style>
  <w:style w:type="paragraph" w:styleId="770">
    <w:name w:val="Header"/>
    <w:basedOn w:val="919"/>
    <w:link w:val="77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1">
    <w:name w:val="Header Char"/>
    <w:basedOn w:val="920"/>
    <w:link w:val="770"/>
    <w:uiPriority w:val="99"/>
    <w:pPr>
      <w:pBdr/>
      <w:spacing/>
      <w:ind/>
    </w:pPr>
  </w:style>
  <w:style w:type="paragraph" w:styleId="772">
    <w:name w:val="Footer"/>
    <w:basedOn w:val="919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3">
    <w:name w:val="Footer Char"/>
    <w:basedOn w:val="920"/>
    <w:link w:val="772"/>
    <w:uiPriority w:val="99"/>
    <w:pPr>
      <w:pBdr/>
      <w:spacing/>
      <w:ind/>
    </w:pPr>
  </w:style>
  <w:style w:type="paragraph" w:styleId="774">
    <w:name w:val="Caption"/>
    <w:basedOn w:val="919"/>
    <w:next w:val="9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5">
    <w:name w:val="Caption Char"/>
    <w:basedOn w:val="774"/>
    <w:link w:val="772"/>
    <w:uiPriority w:val="99"/>
    <w:pPr>
      <w:pBdr/>
      <w:spacing/>
      <w:ind/>
    </w:pPr>
  </w:style>
  <w:style w:type="table" w:styleId="776">
    <w:name w:val="Table Grid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Table Grid Light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1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2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3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4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5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6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1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2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3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4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5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6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2">
    <w:name w:val="footnote text"/>
    <w:basedOn w:val="919"/>
    <w:link w:val="90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3">
    <w:name w:val="Footnote Text Char"/>
    <w:link w:val="902"/>
    <w:uiPriority w:val="99"/>
    <w:pPr>
      <w:pBdr/>
      <w:spacing/>
      <w:ind/>
    </w:pPr>
    <w:rPr>
      <w:sz w:val="18"/>
    </w:rPr>
  </w:style>
  <w:style w:type="character" w:styleId="904">
    <w:name w:val="footnote reference"/>
    <w:basedOn w:val="920"/>
    <w:uiPriority w:val="99"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6">
    <w:name w:val="Endnote Text Char"/>
    <w:link w:val="905"/>
    <w:uiPriority w:val="99"/>
    <w:pPr>
      <w:pBdr/>
      <w:spacing/>
      <w:ind/>
    </w:pPr>
    <w:rPr>
      <w:sz w:val="20"/>
    </w:rPr>
  </w:style>
  <w:style w:type="character" w:styleId="907">
    <w:name w:val="endnote reference"/>
    <w:basedOn w:val="920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pBdr/>
      <w:spacing w:after="57"/>
      <w:ind w:right="0" w:firstLine="0" w:left="0"/>
    </w:pPr>
  </w:style>
  <w:style w:type="paragraph" w:styleId="909">
    <w:name w:val="toc 2"/>
    <w:basedOn w:val="919"/>
    <w:next w:val="919"/>
    <w:uiPriority w:val="39"/>
    <w:unhideWhenUsed/>
    <w:pPr>
      <w:pBdr/>
      <w:spacing w:after="57"/>
      <w:ind w:right="0" w:firstLine="0" w:left="283"/>
    </w:pPr>
  </w:style>
  <w:style w:type="paragraph" w:styleId="910">
    <w:name w:val="toc 3"/>
    <w:basedOn w:val="919"/>
    <w:next w:val="919"/>
    <w:uiPriority w:val="39"/>
    <w:unhideWhenUsed/>
    <w:pPr>
      <w:pBdr/>
      <w:spacing w:after="57"/>
      <w:ind w:right="0" w:firstLine="0" w:left="567"/>
    </w:pPr>
  </w:style>
  <w:style w:type="paragraph" w:styleId="911">
    <w:name w:val="toc 4"/>
    <w:basedOn w:val="919"/>
    <w:next w:val="919"/>
    <w:uiPriority w:val="39"/>
    <w:unhideWhenUsed/>
    <w:pPr>
      <w:pBdr/>
      <w:spacing w:after="57"/>
      <w:ind w:right="0" w:firstLine="0" w:left="850"/>
    </w:pPr>
  </w:style>
  <w:style w:type="paragraph" w:styleId="912">
    <w:name w:val="toc 5"/>
    <w:basedOn w:val="919"/>
    <w:next w:val="919"/>
    <w:uiPriority w:val="39"/>
    <w:unhideWhenUsed/>
    <w:pPr>
      <w:pBdr/>
      <w:spacing w:after="57"/>
      <w:ind w:right="0" w:firstLine="0" w:left="1134"/>
    </w:pPr>
  </w:style>
  <w:style w:type="paragraph" w:styleId="913">
    <w:name w:val="toc 6"/>
    <w:basedOn w:val="919"/>
    <w:next w:val="919"/>
    <w:uiPriority w:val="39"/>
    <w:unhideWhenUsed/>
    <w:pPr>
      <w:pBdr/>
      <w:spacing w:after="57"/>
      <w:ind w:right="0" w:firstLine="0" w:left="1417"/>
    </w:pPr>
  </w:style>
  <w:style w:type="paragraph" w:styleId="914">
    <w:name w:val="toc 7"/>
    <w:basedOn w:val="919"/>
    <w:next w:val="919"/>
    <w:uiPriority w:val="39"/>
    <w:unhideWhenUsed/>
    <w:pPr>
      <w:pBdr/>
      <w:spacing w:after="57"/>
      <w:ind w:right="0" w:firstLine="0" w:left="1701"/>
    </w:pPr>
  </w:style>
  <w:style w:type="paragraph" w:styleId="915">
    <w:name w:val="toc 8"/>
    <w:basedOn w:val="919"/>
    <w:next w:val="919"/>
    <w:uiPriority w:val="39"/>
    <w:unhideWhenUsed/>
    <w:pPr>
      <w:pBdr/>
      <w:spacing w:after="57"/>
      <w:ind w:right="0" w:firstLine="0" w:left="1984"/>
    </w:pPr>
  </w:style>
  <w:style w:type="paragraph" w:styleId="916">
    <w:name w:val="toc 9"/>
    <w:basedOn w:val="919"/>
    <w:next w:val="919"/>
    <w:uiPriority w:val="39"/>
    <w:unhideWhenUsed/>
    <w:pPr>
      <w:pBdr/>
      <w:spacing w:after="57"/>
      <w:ind w:right="0" w:firstLine="0" w:left="2268"/>
    </w:pPr>
  </w:style>
  <w:style w:type="paragraph" w:styleId="917">
    <w:name w:val="TOC Heading"/>
    <w:uiPriority w:val="39"/>
    <w:unhideWhenUsed/>
    <w:pPr>
      <w:pBdr/>
      <w:spacing/>
      <w:ind/>
    </w:pPr>
  </w:style>
  <w:style w:type="paragraph" w:styleId="918">
    <w:name w:val="table of figures"/>
    <w:basedOn w:val="919"/>
    <w:next w:val="919"/>
    <w:uiPriority w:val="99"/>
    <w:unhideWhenUsed/>
    <w:pPr>
      <w:pBdr/>
      <w:spacing w:after="0" w:afterAutospacing="0"/>
      <w:ind/>
    </w:pPr>
  </w:style>
  <w:style w:type="paragraph" w:styleId="919" w:default="1">
    <w:name w:val="Normal"/>
    <w:qFormat/>
    <w:pPr>
      <w:pBdr/>
      <w:spacing/>
      <w:ind/>
    </w:pPr>
  </w:style>
  <w:style w:type="character" w:styleId="920" w:default="1">
    <w:name w:val="Default Paragraph Font"/>
    <w:uiPriority w:val="1"/>
    <w:unhideWhenUsed/>
    <w:pPr>
      <w:pBdr/>
      <w:spacing/>
      <w:ind/>
    </w:pPr>
  </w:style>
  <w:style w:type="table" w:styleId="92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2" w:default="1">
    <w:name w:val="No List"/>
    <w:uiPriority w:val="99"/>
    <w:semiHidden/>
    <w:unhideWhenUsed/>
    <w:pPr>
      <w:pBdr/>
      <w:spacing/>
      <w:ind/>
    </w:pPr>
  </w:style>
  <w:style w:type="paragraph" w:styleId="923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24">
    <w:name w:val="Hyperlink"/>
    <w:basedOn w:val="920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25">
    <w:name w:val="List Paragraph"/>
    <w:basedOn w:val="919"/>
    <w:uiPriority w:val="34"/>
    <w:qFormat/>
    <w:pPr>
      <w:pBdr/>
      <w:spacing/>
      <w:ind w:left="720"/>
      <w:contextualSpacing w:val="true"/>
    </w:pPr>
  </w:style>
  <w:style w:type="paragraph" w:styleId="926" w:customStyle="1">
    <w:name w:val="Default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40</cp:revision>
  <dcterms:created xsi:type="dcterms:W3CDTF">2017-02-16T13:17:00Z</dcterms:created>
  <dcterms:modified xsi:type="dcterms:W3CDTF">2025-10-10T12:49:09Z</dcterms:modified>
</cp:coreProperties>
</file>