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О ЗАДАТКЕ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68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6680"/>
        </w:tabs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 ___________</w:t>
      </w:r>
      <w:r>
        <w:rPr>
          <w:sz w:val="22"/>
          <w:szCs w:val="22"/>
        </w:rPr>
        <w:t xml:space="preserve">_  20</w:t>
      </w:r>
      <w:r>
        <w:rPr>
          <w:sz w:val="22"/>
          <w:szCs w:val="22"/>
        </w:rPr>
        <w:t xml:space="preserve">__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торгов - Финансовый управляющий имуществом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Красниковой Ольги Алексеевны, дата рождения: 16.04.1956, место рождения: гор. Москва, СНИЛС: 006-178-381 40, ИНН: 781003680123, регистрация по месту жительства: г. Санкт-Петербург, ул. Благодатная, д. 34, кв. 89)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Попов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Дмитрий Андреевич (ИНН 352510317400, СНИЛС 127-470-915 66, адрес для направления корреспонденции: 160004, Вологодская обл., г. Вологда, А/Я 1, э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л.почта: Redxabk@yandex.ru,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егистрационный номер в сводном государственном реестре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арбитражных управляющих – 20923), член Ассоциации СОАУ «Меркурий» (ОГРН 1037710023108, ИНН 7710458616, 125047, г. Москва, ул. 4-я Тверская-Ямская, д.2/11, стр. 2), действующий на основании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Решениея суда (Арбитражный суд города Санкт-Петербурга и Ленинградской области) 05.02.2025 (резолютивная часть объявлена 03.02.2025) по делу № А56-109531/2024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далее именуемый «Организатор торгов», с одной стороны и 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__, действующий на основании_______________________, именуемый далее «Претендент»,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1.1. Для участия в торгах по продаже следующего имущества в соответствии с информационным сообщением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20948348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опубликованного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сайте ЕФРСБ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jc w:val="center"/>
        <w:tblW w:w="10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67"/>
        <w:gridCol w:w="1973"/>
        <w:gridCol w:w="1973"/>
      </w:tblGrid>
      <w:tr>
        <w:trPr>
          <w:jc w:val="center"/>
          <w:trHeight w:val="244"/>
        </w:trPr>
        <w:tc>
          <w:tcPr>
            <w:tcBorders/>
            <w:tcW w:w="810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7367" w:type="dxa"/>
            <w:textDirection w:val="lrTb"/>
            <w:noWrap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Имущества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97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9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W w:w="810" w:type="dxa"/>
            <w:textDirection w:val="lrTb"/>
            <w:noWrap w:val="false"/>
          </w:tcPr>
          <w:p>
            <w:pPr>
              <w:pBdr/>
              <w:spacing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7367" w:type="dxa"/>
            <w:vAlign w:val="center"/>
            <w:textDirection w:val="lrTb"/>
            <w:noWrap/>
          </w:tcPr>
          <w:p>
            <w:pPr>
              <w:pStyle w:val="911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З</w:t>
            </w:r>
            <w:r>
              <w:rPr>
                <w:sz w:val="22"/>
                <w:szCs w:val="22"/>
                <w:lang w:val="en-US"/>
              </w:rPr>
              <w:t xml:space="preserve">дание, кадастровый номер: 53:18:0044501:181, назначение объекта недвижимости: Жилое, местоположение: Новгородская область, р-н Хвойнинский, д Заделье, ул Васильковая, д 7, площадь: 65.3 кв.м., вид права, доля в праве: собственность, вид объекта недвижимост</w:t>
            </w:r>
            <w:r>
              <w:rPr>
                <w:sz w:val="22"/>
                <w:szCs w:val="22"/>
                <w:lang w:val="en-US"/>
              </w:rPr>
              <w:t xml:space="preserve">и</w:t>
            </w:r>
            <w:r>
              <w:rPr>
                <w:sz w:val="22"/>
                <w:szCs w:val="22"/>
                <w:lang w:val="en-US"/>
              </w:rPr>
              <w:t xml:space="preserve">: земельный участок, кадастровый номер: 53:18:0044501:30, виды разрешенного использования объекта недвижимости: для размещения жилого дома и хозяйственно - бытовых построек, местоположение: обл. Новгородская, р-н Хвойнинский, д. Заделье, ул. Васильковая, д</w:t>
            </w:r>
            <w:r>
              <w:rPr>
                <w:sz w:val="22"/>
                <w:szCs w:val="22"/>
                <w:lang w:val="en-US"/>
              </w:rPr>
              <w:t xml:space="preserve">.7, площадь: 1108 кв.м., вид права, доля в праве: 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7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0"/>
              <w:contextualSpacing w:val="true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  <w:r>
              <w:rPr>
                <w:color w:val="000000"/>
                <w:sz w:val="22"/>
                <w:szCs w:val="22"/>
                <w:lang w:val="ru-RU"/>
              </w:rPr>
              <w:t xml:space="preserve">144 000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,0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0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Р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еализуемое имущество приобретено в браке, является общим имуществом согласно статье 34 СК РФ. Статья 213.26 Федерального закона "О несостоятельности (банкротстве)" от 26.10.2002 N 127-ФЗ предусматривает реализацию общего имущества супругов как единого объе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кта, при этом указанная статья устанавливает правило согласно которому после реализации имущества половина стоимости подлежит передаче супругу должника.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Bdr/>
              <w:spacing/>
              <w:ind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Данный подход подтвержден постановлением пленума Верховного суда Российской Федерации от 25 декабря 2018 г. № 48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"О некоторых вопросах, связанных с особенностями формирования и распределения конкурсной массы в делах о банкротстве граждан".</w:t>
            </w:r>
            <w:r>
              <w:rPr>
                <w:color w:val="000000"/>
                <w:sz w:val="12"/>
                <w:szCs w:val="12"/>
                <w:lang w:val="en-US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</w:tr>
    </w:tbl>
    <w:p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</w:t>
      </w:r>
      <w:r>
        <w:rPr>
          <w:sz w:val="22"/>
          <w:szCs w:val="22"/>
        </w:rPr>
        <w:t xml:space="preserve">обязуется перечислить на </w:t>
      </w:r>
      <w:r>
        <w:rPr>
          <w:sz w:val="22"/>
          <w:szCs w:val="22"/>
        </w:rPr>
        <w:t xml:space="preserve">расчетный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</w:t>
      </w:r>
      <w:r>
        <w:rPr>
          <w:sz w:val="22"/>
          <w:szCs w:val="22"/>
        </w:rPr>
        <w:t xml:space="preserve"> Организатора торгов задаток</w:t>
      </w:r>
      <w:r>
        <w:rPr>
          <w:sz w:val="22"/>
          <w:szCs w:val="22"/>
        </w:rPr>
        <w:t xml:space="preserve"> - </w:t>
      </w:r>
      <w:r>
        <w:rPr>
          <w:b/>
          <w:color w:val="ff0000"/>
          <w:sz w:val="22"/>
          <w:szCs w:val="22"/>
        </w:rPr>
        <w:t xml:space="preserve">10</w:t>
      </w:r>
      <w:r>
        <w:rPr>
          <w:b/>
          <w:color w:val="ff0000"/>
          <w:sz w:val="22"/>
          <w:szCs w:val="22"/>
        </w:rPr>
        <w:t xml:space="preserve">% от начальной</w:t>
      </w:r>
      <w:r>
        <w:rPr>
          <w:b/>
          <w:sz w:val="22"/>
          <w:szCs w:val="22"/>
        </w:rPr>
        <w:t xml:space="preserve"> цены Имущества (Лота)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 лот № 1 в размере ______ (________________) руб.,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 Организатор торгов обязуется принять данный задаток. Денежные средства, указанные в п.1.1. настоящего договора должны быть внесены Претендентом на </w:t>
      </w:r>
      <w:r>
        <w:rPr>
          <w:sz w:val="22"/>
          <w:szCs w:val="22"/>
        </w:rPr>
        <w:t xml:space="preserve">расчетный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</w:t>
      </w:r>
      <w:r>
        <w:rPr>
          <w:sz w:val="22"/>
          <w:szCs w:val="22"/>
        </w:rPr>
        <w:t xml:space="preserve"> одним платежом </w:t>
      </w:r>
      <w:r>
        <w:rPr>
          <w:sz w:val="22"/>
          <w:szCs w:val="22"/>
        </w:rPr>
        <w:t xml:space="preserve">по реквизитам, указанным в разд.5</w:t>
      </w:r>
      <w:r>
        <w:rPr>
          <w:sz w:val="22"/>
          <w:szCs w:val="22"/>
        </w:rPr>
        <w:t xml:space="preserve">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 Сумма задатка вносится в </w:t>
      </w:r>
      <w:r>
        <w:rPr>
          <w:sz w:val="22"/>
          <w:szCs w:val="22"/>
        </w:rPr>
        <w:t xml:space="preserve">счет</w:t>
      </w:r>
      <w:r>
        <w:rPr>
          <w:sz w:val="22"/>
          <w:szCs w:val="22"/>
        </w:rPr>
        <w:t xml:space="preserve"> обеспечения обязательств Претендента, связанных с участием в торгах, в том числе по оплате </w:t>
      </w:r>
      <w:r>
        <w:rPr>
          <w:sz w:val="22"/>
          <w:szCs w:val="22"/>
        </w:rPr>
        <w:t xml:space="preserve">приобретенного</w:t>
      </w:r>
      <w:r>
        <w:rPr>
          <w:sz w:val="22"/>
          <w:szCs w:val="22"/>
        </w:rPr>
        <w:t xml:space="preserve"> имущества, в случае признания Претендента победителем торгов на условиях Положений </w:t>
      </w:r>
      <w:r>
        <w:rPr>
          <w:sz w:val="22"/>
          <w:szCs w:val="22"/>
        </w:rPr>
        <w:t xml:space="preserve">о порядке, сроках и условиях продажи имущества, Заявки на участие в торгах, поданной Претендентом. Отношения сторон по настоящему договору регулируется ст. ст. 448, 449 ГК РФ. В случае признания Претендента Победителем торгов сумма задатка засчитывается в </w:t>
      </w:r>
      <w:r>
        <w:rPr>
          <w:sz w:val="22"/>
          <w:szCs w:val="22"/>
        </w:rPr>
        <w:t xml:space="preserve">счет</w:t>
      </w:r>
      <w:r>
        <w:rPr>
          <w:sz w:val="22"/>
          <w:szCs w:val="22"/>
        </w:rPr>
        <w:t xml:space="preserve"> оплаты </w:t>
      </w:r>
      <w:r>
        <w:rPr>
          <w:sz w:val="22"/>
          <w:szCs w:val="22"/>
        </w:rPr>
        <w:t xml:space="preserve">приобретенного</w:t>
      </w:r>
      <w:r>
        <w:rPr>
          <w:sz w:val="22"/>
          <w:szCs w:val="22"/>
        </w:rPr>
        <w:t xml:space="preserve"> на торгах имущества.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720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Передача задатка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На денежные средства, переданные в соответствии с настоящим договором, проценты не начисляются.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Возврат задатка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Организатор торгов обязуется возвратить задаток Претенденту в </w:t>
      </w:r>
      <w:r>
        <w:rPr>
          <w:sz w:val="22"/>
          <w:szCs w:val="22"/>
        </w:rPr>
        <w:t xml:space="preserve">случаях, предусмотренных</w:t>
      </w:r>
      <w:r>
        <w:rPr>
          <w:sz w:val="22"/>
          <w:szCs w:val="22"/>
        </w:rPr>
        <w:t xml:space="preserve"> настоящим договором, на </w:t>
      </w:r>
      <w:r>
        <w:rPr>
          <w:sz w:val="22"/>
          <w:szCs w:val="22"/>
        </w:rPr>
        <w:t xml:space="preserve">расчетный</w:t>
      </w:r>
      <w:r>
        <w:rPr>
          <w:sz w:val="22"/>
          <w:szCs w:val="22"/>
        </w:rPr>
        <w:t xml:space="preserve"> (лицевой) </w:t>
      </w:r>
      <w:r>
        <w:rPr>
          <w:sz w:val="22"/>
          <w:szCs w:val="22"/>
        </w:rPr>
        <w:t xml:space="preserve">счет</w:t>
      </w:r>
      <w:r>
        <w:rPr>
          <w:sz w:val="22"/>
          <w:szCs w:val="22"/>
        </w:rPr>
        <w:t xml:space="preserve"> Претендента – на основании «Заявления о возврате задатка»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в течение </w:t>
      </w:r>
      <w:r>
        <w:rPr>
          <w:color w:val="000000" w:themeColor="text1"/>
          <w:sz w:val="22"/>
          <w:szCs w:val="22"/>
        </w:rPr>
        <w:t xml:space="preserve">5</w:t>
      </w:r>
      <w:r>
        <w:rPr>
          <w:color w:val="000000" w:themeColor="text1"/>
          <w:sz w:val="22"/>
          <w:szCs w:val="22"/>
        </w:rPr>
        <w:t xml:space="preserve"> рабочих дней со дня его получения</w:t>
      </w:r>
      <w:r>
        <w:rPr>
          <w:sz w:val="22"/>
          <w:szCs w:val="22"/>
        </w:rPr>
        <w:t xml:space="preserve">, в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</w:t>
      </w:r>
      <w:r>
        <w:rPr>
          <w:sz w:val="22"/>
          <w:szCs w:val="22"/>
        </w:rPr>
        <w:t xml:space="preserve"> отказа Претенденту в участии в Торгах;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</w:t>
      </w:r>
      <w:r>
        <w:rPr>
          <w:sz w:val="22"/>
          <w:szCs w:val="22"/>
        </w:rPr>
        <w:t xml:space="preserve">непризнания Участника торгов Победителем торгов;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</w:rPr>
        <w:t xml:space="preserve">Задаток не возвращается в случае: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sz w:val="22"/>
          <w:szCs w:val="22"/>
        </w:rPr>
        <w:t xml:space="preserve">отказа или уклонения Победителя торгов от подписания Протокола о ходе и результатах торгов;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отказа или уклонения Победителя торгов от подписания Договора купли-купли имущества, выставленного на Торги;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неоплаты Победителем торгов имущества в установленный Договором купли-продажи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540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Иные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Настоящий договор вступает в силу с момента его подписания сторонами и прекращает действие надлежащим исполнением.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Споры, возникшие в результате действия </w:t>
      </w:r>
      <w:r>
        <w:rPr>
          <w:sz w:val="22"/>
          <w:szCs w:val="22"/>
        </w:rPr>
        <w:t xml:space="preserve">настоящего договора</w:t>
      </w:r>
      <w:r>
        <w:rPr>
          <w:sz w:val="22"/>
          <w:szCs w:val="22"/>
        </w:rPr>
        <w:t xml:space="preserve">, разрешаются в установленном порядке судом, находящимся по территориальности в городе Вологде (договорная подсудность).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Настоящий договор составлен в 2 (двух) экземплярах, имеющих одинаковую юридическую силу, </w:t>
      </w:r>
      <w:r>
        <w:rPr>
          <w:sz w:val="22"/>
          <w:szCs w:val="22"/>
        </w:rPr>
        <w:t xml:space="preserve">причем</w:t>
      </w:r>
      <w:r>
        <w:rPr>
          <w:sz w:val="22"/>
          <w:szCs w:val="22"/>
        </w:rPr>
        <w:t xml:space="preserve"> один экземпляр находится у Организатора торгов и один у Претендента.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3760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909"/>
        <w:tblW w:w="10199" w:type="dxa"/>
        <w:tblBorders/>
        <w:tblLook w:val="04A0" w:firstRow="1" w:lastRow="0" w:firstColumn="1" w:lastColumn="0" w:noHBand="0" w:noVBand="1"/>
      </w:tblPr>
      <w:tblGrid>
        <w:gridCol w:w="5099"/>
        <w:gridCol w:w="5100"/>
      </w:tblGrid>
      <w:tr>
        <w:trPr>
          <w:trHeight w:val="2335"/>
        </w:trPr>
        <w:tc>
          <w:tcPr>
            <w:tcBorders/>
            <w:tcW w:w="5099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Организатор торгов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Финансовый управляющий имуществом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Красниковой Ольги Алексеевны, дата рождения: 16.04.1956, место рождения: гор. Москва, СНИЛС: 006-178-381 40, ИНН: 781003680123, регистрация по месту жительства: г. Санкт-Петербург, ул. Благодатная, д. 34, кв. 89)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Попов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Дмитрий Андреевич (ИНН 352510317400, СНИЛС 127-470-915 66, адрес для направления корреспонденции: 160004, Вологодская обл., г. Вологда, А/Я 1, эл.почта: </w:t>
            </w:r>
            <w:hyperlink r:id="rId10" w:tooltip="mailto:Redxabk@yandex.ru," w:history="1">
              <w:r>
                <w:rPr>
                  <w:rStyle w:val="907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Redxabk@yandex.ru,</w:t>
              </w:r>
              <w:r>
                <w:rPr>
                  <w:rStyle w:val="907"/>
                  <w:sz w:val="22"/>
                  <w:szCs w:val="22"/>
                </w:rPr>
              </w:r>
            </w:hyperlink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Вологодское отделение № 8638 ПАО Сбербанк, кор.счет: 30101810900000000644, БИК банка: 041909644, КПП банка: 352502001, ИНН банка: 7707083893, счет получателя: 40817810112002726398, получатель Красникова Ольга Алексеевна, ИНН получателя: 781003680123.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Претендент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r>
              <w:rPr>
                <w:sz w:val="22"/>
                <w:szCs w:val="22"/>
              </w:rPr>
            </w:r>
            <w:bookmarkEnd w:id="0"/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8"/>
        </w:trPr>
        <w:tc>
          <w:tcPr>
            <w:tcBorders/>
            <w:tcW w:w="5099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Д.А. Попов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5100" w:type="dxa"/>
            <w:textDirection w:val="lrTb"/>
            <w:noWrap w:val="false"/>
          </w:tcPr>
          <w:p>
            <w:pPr>
              <w:pBdr/>
              <w:tabs>
                <w:tab w:val="left" w:leader="none" w:pos="3760"/>
              </w:tabs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3506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footnotePr/>
      <w:endnotePr/>
      <w:type w:val="nextPage"/>
      <w:pgSz w:h="16838" w:orient="portrait" w:w="11906"/>
      <w:pgMar w:top="426" w:right="707" w:bottom="709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3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2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780"/>
        </w:tabs>
        <w:spacing/>
        <w:ind w:hanging="780" w:left="78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3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3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945"/>
        </w:tabs>
        <w:spacing/>
        <w:ind w:hanging="945" w:left="945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3"/>
      <w:suff w:val="space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3"/>
      <w:suff w:val="space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160"/>
        </w:tabs>
        <w:spacing/>
        <w:ind w:hanging="2160" w:left="2160"/>
      </w:pPr>
      <w:rPr/>
      <w:start w:val="1"/>
      <w:suff w:val="space"/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character" w:styleId="720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Heading 1"/>
    <w:basedOn w:val="903"/>
    <w:next w:val="903"/>
    <w:link w:val="7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pBdr/>
      <w:spacing w:after="0" w:before="0" w:line="240" w:lineRule="auto"/>
      <w:ind/>
    </w:pPr>
  </w:style>
  <w:style w:type="paragraph" w:styleId="747">
    <w:name w:val="Title"/>
    <w:basedOn w:val="903"/>
    <w:next w:val="903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3"/>
    <w:next w:val="903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3"/>
    <w:next w:val="903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3"/>
    <w:next w:val="903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3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4"/>
    <w:link w:val="755"/>
    <w:uiPriority w:val="99"/>
    <w:pPr>
      <w:pBdr/>
      <w:spacing/>
      <w:ind/>
    </w:pPr>
  </w:style>
  <w:style w:type="paragraph" w:styleId="757">
    <w:name w:val="Footer"/>
    <w:basedOn w:val="903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4"/>
    <w:link w:val="757"/>
    <w:uiPriority w:val="99"/>
    <w:pPr>
      <w:pBdr/>
      <w:spacing/>
      <w:ind/>
    </w:pPr>
  </w:style>
  <w:style w:type="paragraph" w:styleId="759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default="1">
    <w:name w:val="Default Paragraph Font"/>
    <w:uiPriority w:val="1"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>
    <w:name w:val="Hyperlink"/>
    <w:basedOn w:val="904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List Paragraph"/>
    <w:basedOn w:val="903"/>
    <w:uiPriority w:val="34"/>
    <w:qFormat/>
    <w:pPr>
      <w:pBdr/>
      <w:spacing/>
      <w:ind w:left="720"/>
      <w:contextualSpacing w:val="true"/>
    </w:pPr>
  </w:style>
  <w:style w:type="table" w:styleId="909">
    <w:name w:val="Table Grid"/>
    <w:basedOn w:val="90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0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1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Redxabk@yandex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47</cp:revision>
  <dcterms:created xsi:type="dcterms:W3CDTF">2017-02-16T12:55:00Z</dcterms:created>
  <dcterms:modified xsi:type="dcterms:W3CDTF">2025-12-22T19:17:53Z</dcterms:modified>
</cp:coreProperties>
</file>