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C873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4DE57CB5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330C6E81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0C6C9DF8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0FCD2463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780EDD8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156E365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475E75D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1E6C4BF3">
      <w:pPr>
        <w:pStyle w:val="37"/>
        <w:ind w:left="0" w:right="0" w:firstLine="567"/>
        <w:rPr>
          <w:rFonts w:hint="default" w:ascii="Times New Roman" w:hAnsi="Times New Roman" w:cs="Times New Roman"/>
          <w:color w:val="000000"/>
          <w:sz w:val="22"/>
          <w:szCs w:val="22"/>
          <w:highlight w:val="yellow"/>
          <w:shd w:val="clear" w:color="auto" w:fill="auto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Финансовый управляющий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>Яхонтова</w:t>
      </w:r>
      <w:r>
        <w:rPr>
          <w:rFonts w:hint="default"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 xml:space="preserve"> Михаила Николаевича -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с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одной стороны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и</w:t>
      </w:r>
    </w:p>
    <w:p w14:paraId="53F3304D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</w:p>
    <w:p w14:paraId="72CD6F95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именуемый в дальнейшем «Претендент», в лице _______________________________________________________________________________,</w:t>
      </w:r>
    </w:p>
    <w:p w14:paraId="53BF5685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(должность, Ф.И.О.)</w:t>
      </w:r>
    </w:p>
    <w:p w14:paraId="18994868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действующего на основании _______________________________________________________________________________,</w:t>
      </w:r>
    </w:p>
    <w:p w14:paraId="51EC1AE2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(Устава, Положения, доверенности)</w:t>
      </w:r>
    </w:p>
    <w:p w14:paraId="750B78E0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 другой стороны, заключили настоящий Договор о нижеследующем:</w:t>
      </w:r>
    </w:p>
    <w:p w14:paraId="532481AC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65CE38D4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DA694D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DB84633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>от соответствующей цены продажи имущества/лота</w:t>
      </w:r>
      <w:r>
        <w:rPr>
          <w:rFonts w:hint="default" w:ascii="Times New Roman" w:hAnsi="Times New Roman" w:eastAsia="Calibri" w:cs="Times New Roman"/>
          <w:sz w:val="22"/>
          <w:szCs w:val="22"/>
          <w:lang w:val="ru-RU"/>
        </w:rPr>
        <w:t xml:space="preserve">, установленной для соответствующего периода торгов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61370B35">
      <w:pPr>
        <w:jc w:val="both"/>
        <w:rPr>
          <w:sz w:val="22"/>
          <w:szCs w:val="22"/>
          <w:highlight w:val="none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13</w:t>
      </w:r>
      <w:r>
        <w:rPr>
          <w:sz w:val="22"/>
          <w:szCs w:val="22"/>
          <w:highlight w:val="none"/>
          <w:shd w:val="clear" w:color="auto" w:fill="auto"/>
        </w:rPr>
        <w:t>.0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2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  <w:r>
        <w:rPr>
          <w:sz w:val="22"/>
          <w:szCs w:val="22"/>
          <w:highlight w:val="none"/>
          <w:shd w:val="clear" w:color="auto" w:fill="auto"/>
        </w:rPr>
        <w:br w:type="textWrapping"/>
      </w:r>
      <w:r>
        <w:rPr>
          <w:sz w:val="22"/>
          <w:szCs w:val="22"/>
          <w:highlight w:val="none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окончания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30</w:t>
      </w:r>
      <w:r>
        <w:rPr>
          <w:sz w:val="22"/>
          <w:szCs w:val="22"/>
          <w:highlight w:val="none"/>
          <w:shd w:val="clear" w:color="auto" w:fill="auto"/>
        </w:rPr>
        <w:t>.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04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1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</w:p>
    <w:p w14:paraId="1AC1DDD0">
      <w:pPr>
        <w:jc w:val="both"/>
        <w:rPr>
          <w:sz w:val="22"/>
          <w:szCs w:val="22"/>
          <w:highlight w:val="none"/>
          <w:shd w:val="clear" w:color="auto" w:fill="auto"/>
        </w:rPr>
      </w:pPr>
    </w:p>
    <w:p w14:paraId="72AEB5B5">
      <w:pPr>
        <w:jc w:val="both"/>
        <w:rPr>
          <w:sz w:val="22"/>
          <w:szCs w:val="22"/>
          <w:shd w:val="clear" w:color="auto" w:fill="auto"/>
          <w:lang w:val="ru-RU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На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  <w:shd w:val="clear" w:color="auto" w:fill="auto"/>
          <w:lang w:val="ru-RU"/>
        </w:rPr>
        <w:t>Т</w:t>
      </w:r>
      <w:r>
        <w:rPr>
          <w:sz w:val="22"/>
          <w:szCs w:val="22"/>
          <w:shd w:val="clear" w:color="auto" w:fill="auto"/>
        </w:rPr>
        <w:t>оргах</w:t>
      </w:r>
      <w:r>
        <w:rPr>
          <w:rFonts w:hint="default"/>
          <w:sz w:val="22"/>
          <w:szCs w:val="22"/>
          <w:shd w:val="clear" w:color="auto" w:fill="auto"/>
          <w:lang w:val="ru-RU"/>
        </w:rPr>
        <w:t xml:space="preserve"> в форме публичного предложения</w:t>
      </w:r>
      <w:r>
        <w:rPr>
          <w:sz w:val="22"/>
          <w:szCs w:val="22"/>
          <w:shd w:val="clear" w:color="auto" w:fill="auto"/>
          <w:lang w:val="ru-RU"/>
        </w:rPr>
        <w:t xml:space="preserve"> подлежит реализации </w:t>
      </w:r>
    </w:p>
    <w:p w14:paraId="13D7B992">
      <w:pPr>
        <w:jc w:val="both"/>
        <w:rPr>
          <w:sz w:val="22"/>
          <w:szCs w:val="22"/>
          <w:shd w:val="clear" w:color="auto" w:fill="auto"/>
          <w:lang w:val="ru-RU"/>
        </w:rPr>
      </w:pPr>
    </w:p>
    <w:p w14:paraId="6D926032">
      <w:pPr>
        <w:ind w:firstLine="720" w:firstLineChars="0"/>
        <w:jc w:val="both"/>
        <w:rPr>
          <w:sz w:val="22"/>
          <w:szCs w:val="22"/>
          <w:shd w:val="clear" w:color="auto" w:fill="auto"/>
          <w:lang w:val="ru-RU"/>
        </w:rPr>
      </w:pPr>
      <w:r>
        <w:rPr>
          <w:sz w:val="22"/>
          <w:szCs w:val="22"/>
          <w:shd w:val="clear" w:color="auto" w:fill="auto"/>
          <w:lang w:val="ru-RU"/>
        </w:rPr>
        <w:t xml:space="preserve">Лот № 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  <w:lang w:val="ru-RU"/>
        </w:rPr>
        <w:t>. Квартира, расположенная по адресу: Москва, ул. Мосфильмовская, д. 70, кв. 622, этаж 32, общей площадью 187,5 кв.м., кадастровый номер 77:07:0006004:2692, Площадь, м2: 187,5.</w:t>
      </w:r>
    </w:p>
    <w:p w14:paraId="4FBA854A">
      <w:pPr>
        <w:jc w:val="both"/>
        <w:rPr>
          <w:sz w:val="22"/>
          <w:szCs w:val="22"/>
          <w:shd w:val="clear" w:color="auto" w:fill="auto"/>
          <w:lang w:val="ru-RU"/>
        </w:rPr>
      </w:pPr>
      <w:r>
        <w:rPr>
          <w:sz w:val="22"/>
          <w:szCs w:val="22"/>
          <w:shd w:val="clear" w:color="auto" w:fill="auto"/>
          <w:lang w:val="ru-RU"/>
        </w:rPr>
        <w:t xml:space="preserve">Начальная цена лота № 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  <w:lang w:val="ru-RU"/>
        </w:rPr>
        <w:t xml:space="preserve"> в</w:t>
      </w:r>
      <w:r>
        <w:rPr>
          <w:rFonts w:hint="default"/>
          <w:sz w:val="22"/>
          <w:szCs w:val="22"/>
          <w:shd w:val="clear" w:color="auto" w:fill="auto"/>
          <w:lang w:val="ru-RU"/>
        </w:rPr>
        <w:t xml:space="preserve"> первом периоде торгов в форме публичного предложения </w:t>
      </w:r>
      <w:r>
        <w:rPr>
          <w:sz w:val="22"/>
          <w:szCs w:val="22"/>
          <w:shd w:val="clear" w:color="auto" w:fill="auto"/>
          <w:lang w:val="ru-RU"/>
        </w:rPr>
        <w:t xml:space="preserve">- </w:t>
      </w:r>
      <w:r>
        <w:rPr>
          <w:rFonts w:hint="default"/>
          <w:sz w:val="22"/>
          <w:szCs w:val="22"/>
          <w:shd w:val="clear" w:color="auto" w:fill="auto"/>
          <w:lang w:val="ru-RU"/>
        </w:rPr>
        <w:t>142 154 393,20</w:t>
      </w:r>
      <w:r>
        <w:rPr>
          <w:sz w:val="22"/>
          <w:szCs w:val="22"/>
          <w:shd w:val="clear" w:color="auto" w:fill="auto"/>
          <w:lang w:val="ru-RU"/>
        </w:rPr>
        <w:t xml:space="preserve"> руб.</w:t>
      </w:r>
    </w:p>
    <w:p w14:paraId="2F07EE6B">
      <w:pPr>
        <w:ind w:firstLine="720" w:firstLineChars="0"/>
        <w:jc w:val="both"/>
        <w:rPr>
          <w:rFonts w:hint="default"/>
          <w:sz w:val="22"/>
          <w:szCs w:val="22"/>
          <w:shd w:val="clear" w:color="auto" w:fill="auto"/>
          <w:lang w:val="ru-RU"/>
        </w:rPr>
      </w:pPr>
      <w:r>
        <w:rPr>
          <w:rFonts w:hint="default"/>
          <w:sz w:val="22"/>
          <w:szCs w:val="22"/>
          <w:shd w:val="clear" w:color="auto" w:fill="auto"/>
          <w:lang w:val="ru-RU"/>
        </w:rPr>
        <w:t>Величина снижения начальной цены – 5% от цены публичного предложения, установленной для соответствующего периода торгов в форме публичного предложения. Срок, по истечении которого последовательно снижается начальная цена – 11 календарных дней, из которых 10 (десять) календарных день составляет период торгов и 1 (один) календарный день является днем рассмотрения заявок организатором торгов.</w:t>
      </w:r>
    </w:p>
    <w:p w14:paraId="647DE405">
      <w:pPr>
        <w:jc w:val="both"/>
        <w:rPr>
          <w:rFonts w:hint="default"/>
          <w:sz w:val="22"/>
          <w:szCs w:val="22"/>
          <w:shd w:val="clear" w:color="auto" w:fill="auto"/>
          <w:lang w:val="ru-RU"/>
        </w:rPr>
      </w:pPr>
    </w:p>
    <w:p w14:paraId="5B8A1078">
      <w:pPr>
        <w:ind w:firstLine="720" w:firstLineChars="0"/>
        <w:jc w:val="both"/>
        <w:rPr>
          <w:sz w:val="22"/>
          <w:szCs w:val="22"/>
          <w:shd w:val="clear" w:color="auto" w:fill="auto"/>
          <w:lang w:val="ru-RU"/>
        </w:rPr>
      </w:pPr>
      <w:r>
        <w:rPr>
          <w:rFonts w:hint="default"/>
          <w:sz w:val="22"/>
          <w:szCs w:val="22"/>
          <w:shd w:val="clear" w:color="auto" w:fill="auto"/>
          <w:lang w:val="ru-RU"/>
        </w:rPr>
        <w:t>Начиная с седьмого периода снижения цены, устанавливается минимальная цена предложения: по лоту № 1 – 56 861 757,28 руб., НДС не облагается. Период торгов по минимальной цене - 10 календарных дней.</w:t>
      </w:r>
    </w:p>
    <w:p w14:paraId="710EC965">
      <w:pPr>
        <w:jc w:val="both"/>
        <w:rPr>
          <w:sz w:val="22"/>
          <w:szCs w:val="22"/>
          <w:shd w:val="clear" w:color="auto" w:fill="auto"/>
        </w:rPr>
      </w:pPr>
    </w:p>
    <w:p w14:paraId="189693AC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130649B3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52A6C91A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1278C14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6BDF6F51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532202F3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B05593F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75E7997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(задатка) </w:t>
      </w:r>
      <w:r>
        <w:rPr>
          <w:rFonts w:ascii="Times New Roman" w:hAnsi="Times New Roman" w:cs="Times New Roman"/>
          <w:sz w:val="22"/>
          <w:szCs w:val="22"/>
        </w:rPr>
        <w:t xml:space="preserve">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bookmarkStart w:id="0" w:name="_GoBack"/>
      <w:r>
        <w:rPr>
          <w:rFonts w:hint="default" w:ascii="Times New Roman" w:hAnsi="Times New Roman"/>
          <w:sz w:val="22"/>
          <w:szCs w:val="22"/>
          <w:highlight w:val="none"/>
        </w:rPr>
        <w:t>не позднее даты и времени окончания приема заявок на участие в торгах для соответствующего периода проведения торгов. Задаток считается внесенным с даты поступления всей суммы Задатка на указанный счет.</w:t>
      </w:r>
      <w:bookmarkEnd w:id="0"/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5FE5623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5E6E072A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690F82EF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563EDE9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5018DC2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4C23D023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2B6812A3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70CA52D7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406DBA3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 Внесенный задаток не возвращается Претенденту в случае, если Претендент, признанный Победителем торгов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уклонился от подписания договора купли-продажи в течение 5 дней со дня получения проекта договора купли-продажи от </w:t>
      </w:r>
      <w:r>
        <w:rPr>
          <w:rFonts w:ascii="Times New Roman" w:hAnsi="Times New Roman" w:cs="Times New Roman"/>
          <w:sz w:val="22"/>
          <w:szCs w:val="22"/>
          <w:lang w:val="ru-RU"/>
        </w:rPr>
        <w:t>финансового</w:t>
      </w:r>
      <w:r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1502C118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DC65766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28CA0E1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E1EFB5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50CD326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7456E6E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AF2C137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44EF4D71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8E5726C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400B04B1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E2BCF08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840D04A">
      <w:pPr>
        <w:ind w:left="0" w:right="0" w:firstLine="540"/>
        <w:jc w:val="both"/>
        <w:rPr>
          <w:sz w:val="22"/>
          <w:szCs w:val="22"/>
        </w:rPr>
      </w:pPr>
    </w:p>
    <w:p w14:paraId="1A0CFBDD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4544CC6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B54F48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6B6B0EA8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60"/>
      </w:tblGrid>
      <w:tr w14:paraId="2FC70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E88FF4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 </w:t>
            </w:r>
            <w:r>
              <w:rPr>
                <w:b/>
                <w:bCs/>
                <w:sz w:val="22"/>
                <w:szCs w:val="22"/>
                <w:lang w:val="ru-RU"/>
              </w:rPr>
              <w:t>Яхонтова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 Михаила Николаевича - </w:t>
            </w:r>
            <w:r>
              <w:rPr>
                <w:b/>
                <w:bCs/>
                <w:sz w:val="22"/>
                <w:szCs w:val="22"/>
              </w:rPr>
              <w:t xml:space="preserve">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13FEF6D3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38AF4D05">
            <w:pPr>
              <w:rPr>
                <w:b/>
                <w:sz w:val="22"/>
                <w:szCs w:val="22"/>
              </w:rPr>
            </w:pPr>
          </w:p>
          <w:p w14:paraId="2B0D2FEF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B46F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7A06B1D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90A4C"/>
    <w:rsid w:val="5BFB5AA0"/>
    <w:rsid w:val="6E12692B"/>
    <w:rsid w:val="72ED30B3"/>
    <w:rsid w:val="73A02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qFormat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qFormat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qFormat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qFormat/>
    <w:uiPriority w:val="3"/>
    <w:rPr>
      <w:rFonts w:ascii="Times New Roman" w:hAnsi="Times New Roman" w:cs="Times New Roman"/>
      <w:sz w:val="22"/>
      <w:szCs w:val="22"/>
    </w:rPr>
  </w:style>
  <w:style w:type="character" w:customStyle="1" w:styleId="12">
    <w:name w:val="WW8Num1z2"/>
    <w:qFormat/>
    <w:uiPriority w:val="3"/>
  </w:style>
  <w:style w:type="character" w:customStyle="1" w:styleId="13">
    <w:name w:val="WW8Num1z3"/>
    <w:qFormat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qFormat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qFormat/>
    <w:uiPriority w:val="3"/>
  </w:style>
  <w:style w:type="character" w:customStyle="1" w:styleId="18">
    <w:name w:val="WW8Num1z8"/>
    <w:qFormat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qFormat/>
    <w:uiPriority w:val="3"/>
  </w:style>
  <w:style w:type="character" w:customStyle="1" w:styleId="22">
    <w:name w:val="WW8Num2z3"/>
    <w:qFormat/>
    <w:uiPriority w:val="3"/>
  </w:style>
  <w:style w:type="character" w:customStyle="1" w:styleId="23">
    <w:name w:val="WW8Num2z4"/>
    <w:qFormat/>
    <w:uiPriority w:val="3"/>
  </w:style>
  <w:style w:type="character" w:customStyle="1" w:styleId="24">
    <w:name w:val="WW8Num2z5"/>
    <w:qFormat/>
    <w:uiPriority w:val="3"/>
  </w:style>
  <w:style w:type="character" w:customStyle="1" w:styleId="25">
    <w:name w:val="WW8Num2z6"/>
    <w:qFormat/>
    <w:uiPriority w:val="3"/>
  </w:style>
  <w:style w:type="character" w:customStyle="1" w:styleId="26">
    <w:name w:val="WW8Num2z7"/>
    <w:qFormat/>
    <w:uiPriority w:val="3"/>
  </w:style>
  <w:style w:type="character" w:customStyle="1" w:styleId="27">
    <w:name w:val="WW8Num2z8"/>
    <w:qFormat/>
    <w:uiPriority w:val="3"/>
  </w:style>
  <w:style w:type="character" w:customStyle="1" w:styleId="28">
    <w:name w:val="Основной шрифт абзаца1"/>
    <w:qFormat/>
    <w:uiPriority w:val="67"/>
  </w:style>
  <w:style w:type="character" w:customStyle="1" w:styleId="29">
    <w:name w:val="text"/>
    <w:basedOn w:val="28"/>
    <w:qFormat/>
    <w:uiPriority w:val="7"/>
  </w:style>
  <w:style w:type="character" w:customStyle="1" w:styleId="30">
    <w:name w:val="Символ нумерации"/>
    <w:qFormat/>
    <w:uiPriority w:val="67"/>
  </w:style>
  <w:style w:type="paragraph" w:customStyle="1" w:styleId="31">
    <w:name w:val="Название1"/>
    <w:basedOn w:val="1"/>
    <w:qFormat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qFormat/>
    <w:uiPriority w:val="67"/>
    <w:pPr>
      <w:suppressLineNumbers/>
    </w:pPr>
    <w:rPr>
      <w:rFonts w:cs="Lucida Sans"/>
    </w:rPr>
  </w:style>
  <w:style w:type="paragraph" w:customStyle="1" w:styleId="33">
    <w:name w:val="ConsNormal"/>
    <w:qFormat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qFormat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qFormat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qFormat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qFormat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qFormat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qFormat/>
    <w:uiPriority w:val="67"/>
    <w:pPr>
      <w:suppressLineNumbers/>
    </w:pPr>
  </w:style>
  <w:style w:type="paragraph" w:customStyle="1" w:styleId="40">
    <w:name w:val="Заголовок таблицы"/>
    <w:basedOn w:val="39"/>
    <w:qFormat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27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2025-12-26T13:40:50Z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AAAA34C251D74C3EB61DA484FD30CF20_13</vt:lpwstr>
  </property>
</Properties>
</file>