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4DA7F121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r w:rsidR="008C0385" w:rsidRPr="008C0385">
        <w:rPr>
          <w:b/>
          <w:shd w:val="clear" w:color="auto" w:fill="FFFFFF"/>
        </w:rPr>
        <w:t xml:space="preserve">Хайртдинова Зульфата Зефяровича, </w:t>
      </w:r>
      <w:r w:rsidR="008C0385" w:rsidRPr="008C0385">
        <w:rPr>
          <w:bCs/>
          <w:shd w:val="clear" w:color="auto" w:fill="FFFFFF"/>
        </w:rPr>
        <w:t>ИНН 161702834345, СНИЛС 139-393-013 75</w:t>
      </w:r>
      <w:r w:rsidR="008C0385" w:rsidRPr="008C0385">
        <w:rPr>
          <w:b/>
          <w:shd w:val="clear" w:color="auto" w:fill="FFFFFF"/>
        </w:rPr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3927B3C5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84DCEB9" w14:textId="77777777" w:rsidR="008C0385" w:rsidRPr="008C0385" w:rsidRDefault="008C0385" w:rsidP="008C0385">
      <w:pPr>
        <w:ind w:firstLine="709"/>
        <w:jc w:val="both"/>
        <w:rPr>
          <w:rFonts w:eastAsia="Times New Roman"/>
        </w:rPr>
      </w:pPr>
      <w:bookmarkStart w:id="0" w:name="_Hlk518488158"/>
      <w:r w:rsidRPr="008C0385">
        <w:rPr>
          <w:rFonts w:eastAsia="Times New Roman"/>
        </w:rPr>
        <w:t xml:space="preserve">Ознакомление с предметом торгов осуществляется в рабочие дни по контактным данным тел. 8 967 246 44 21 (Мск), </w:t>
      </w:r>
      <w:hyperlink r:id="rId9" w:history="1">
        <w:r w:rsidRPr="008C0385">
          <w:rPr>
            <w:rStyle w:val="af"/>
            <w:rFonts w:eastAsia="Times New Roman"/>
            <w:lang w:val="en-US"/>
          </w:rPr>
          <w:t>n</w:t>
        </w:r>
        <w:r w:rsidRPr="008C0385">
          <w:rPr>
            <w:rStyle w:val="af"/>
            <w:rFonts w:eastAsia="Times New Roman"/>
          </w:rPr>
          <w:t>n@auction-house.ru</w:t>
        </w:r>
      </w:hyperlink>
      <w:r w:rsidRPr="008C0385">
        <w:rPr>
          <w:rFonts w:eastAsia="Times New Roman"/>
        </w:rPr>
        <w:t xml:space="preserve">, Шеронова Татьяна.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1" w:name="_Hlk147911727"/>
    </w:p>
    <w:p w14:paraId="3C0063F4" w14:textId="77777777" w:rsidR="008C0385" w:rsidRPr="008C0385" w:rsidRDefault="008C0385" w:rsidP="008C0385">
      <w:pPr>
        <w:ind w:firstLine="709"/>
        <w:jc w:val="both"/>
        <w:rPr>
          <w:rFonts w:eastAsia="Times New Roman"/>
        </w:rPr>
      </w:pPr>
      <w:r w:rsidRPr="008C0385">
        <w:rPr>
          <w:rFonts w:eastAsia="Times New Roman"/>
        </w:rPr>
        <w:t>Автомобиль расположен по адресу: Республика Татарстан, с. Старые Какерли, ул. Горная, д. 44.</w:t>
      </w:r>
    </w:p>
    <w:p w14:paraId="76074BD3" w14:textId="77777777" w:rsidR="008C0385" w:rsidRPr="008C0385" w:rsidRDefault="008C0385" w:rsidP="008C0385">
      <w:pPr>
        <w:ind w:firstLine="709"/>
        <w:jc w:val="both"/>
        <w:rPr>
          <w:rFonts w:eastAsia="Times New Roman"/>
        </w:rPr>
      </w:pPr>
      <w:r w:rsidRPr="008C0385">
        <w:rPr>
          <w:rFonts w:eastAsia="Times New Roman"/>
        </w:rPr>
        <w:t>Контактный номер для ознакомления с ТС: +7 965 587 63 54.</w:t>
      </w:r>
      <w:bookmarkEnd w:id="1"/>
    </w:p>
    <w:p w14:paraId="7C78136A" w14:textId="77777777" w:rsidR="00B07483" w:rsidRPr="00B07483" w:rsidRDefault="00B07483" w:rsidP="00F23C3C">
      <w:pPr>
        <w:jc w:val="both"/>
        <w:rPr>
          <w:rFonts w:eastAsia="Times New Roman"/>
          <w:b/>
          <w:bCs/>
        </w:rPr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1EE92C9D" w14:textId="77777777" w:rsidR="008C0385" w:rsidRPr="008C0385" w:rsidRDefault="00433E3D" w:rsidP="008C0385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42735F" w:rsidRPr="00C704A5">
        <w:rPr>
          <w:rFonts w:eastAsia="Times New Roman"/>
          <w:b/>
          <w:bCs/>
        </w:rPr>
        <w:t>финансовым управляющим</w:t>
      </w:r>
      <w:bookmarkStart w:id="2" w:name="_Hlk208398766"/>
      <w:r w:rsidR="00F23C3C">
        <w:rPr>
          <w:rFonts w:eastAsia="Times New Roman"/>
        </w:rPr>
        <w:t xml:space="preserve"> </w:t>
      </w:r>
      <w:bookmarkStart w:id="3" w:name="_Hlk206143377"/>
      <w:bookmarkEnd w:id="2"/>
      <w:r w:rsidR="008C0385" w:rsidRPr="008C0385">
        <w:rPr>
          <w:b/>
          <w:bCs/>
        </w:rPr>
        <w:t>Березюка Дениса Петровича  (</w:t>
      </w:r>
      <w:r w:rsidR="008C0385" w:rsidRPr="008C0385">
        <w:t xml:space="preserve">ИНН 640900176827,  СНИЛС 139-581-774 07), адрес для корреспонденции: 413030, с. Воскресенское, а/я 5, </w:t>
      </w:r>
      <w:r w:rsidR="008C0385" w:rsidRPr="008C0385">
        <w:rPr>
          <w:lang w:val="en-US"/>
        </w:rPr>
        <w:t>e</w:t>
      </w:r>
      <w:r w:rsidR="008C0385" w:rsidRPr="008C0385">
        <w:t>-</w:t>
      </w:r>
      <w:r w:rsidR="008C0385" w:rsidRPr="008C0385">
        <w:rPr>
          <w:lang w:val="en-US"/>
        </w:rPr>
        <w:t>mail</w:t>
      </w:r>
      <w:r w:rsidR="008C0385" w:rsidRPr="008C0385">
        <w:t xml:space="preserve">: </w:t>
      </w:r>
      <w:r w:rsidR="008C0385" w:rsidRPr="008C0385">
        <w:rPr>
          <w:lang w:val="en-US"/>
        </w:rPr>
        <w:t>dberezyuk</w:t>
      </w:r>
      <w:r w:rsidR="008C0385" w:rsidRPr="008C0385">
        <w:t>@</w:t>
      </w:r>
      <w:r w:rsidR="008C0385" w:rsidRPr="008C0385">
        <w:rPr>
          <w:lang w:val="en-US"/>
        </w:rPr>
        <w:t>yandex</w:t>
      </w:r>
      <w:r w:rsidR="008C0385" w:rsidRPr="008C0385">
        <w:t>.</w:t>
      </w:r>
      <w:r w:rsidR="008C0385" w:rsidRPr="008C0385">
        <w:rPr>
          <w:lang w:val="en-US"/>
        </w:rPr>
        <w:t>ru</w:t>
      </w:r>
      <w:r w:rsidR="008C0385" w:rsidRPr="008C0385">
        <w:t xml:space="preserve">, тел. 89173265622, член СРО: СРО «ГАУ» - Союз «Саморегулируемая организация «Гильдия арбитражных управляющих» (ИНН 1660062005,  ОГРН 1021603626098, адрес: 420034, Республика Татарстан, г. Казань, ул. Соловецких Юнг, д. 7, оф. 1004) действующего в соответствии </w:t>
      </w:r>
      <w:r w:rsidR="008C0385" w:rsidRPr="008C0385">
        <w:rPr>
          <w:b/>
          <w:bCs/>
        </w:rPr>
        <w:t>с Решением Арбитражного суда Республики Татарстан от 30.09.2024 по делу № А65-37485/2024</w:t>
      </w:r>
      <w:bookmarkEnd w:id="3"/>
      <w:r w:rsidR="008C0385" w:rsidRPr="008C0385">
        <w:rPr>
          <w:b/>
          <w:bCs/>
        </w:rPr>
        <w:t>.</w:t>
      </w:r>
    </w:p>
    <w:p w14:paraId="0DAD73CB" w14:textId="72613E00" w:rsidR="00B07483" w:rsidRDefault="00B07483" w:rsidP="00433E3D">
      <w:pPr>
        <w:ind w:firstLine="567"/>
        <w:jc w:val="both"/>
      </w:pPr>
    </w:p>
    <w:p w14:paraId="316F4427" w14:textId="77777777" w:rsidR="00B07483" w:rsidRPr="00B07483" w:rsidRDefault="00B07483" w:rsidP="00433E3D">
      <w:pPr>
        <w:ind w:firstLine="567"/>
        <w:jc w:val="both"/>
        <w:rPr>
          <w:rFonts w:eastAsia="Times New Roman"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6149A74" w14:textId="77777777" w:rsidR="008C0385" w:rsidRPr="008C0385" w:rsidRDefault="008C0385" w:rsidP="008C0385">
      <w:pPr>
        <w:ind w:firstLine="709"/>
        <w:jc w:val="both"/>
        <w:rPr>
          <w:rFonts w:eastAsia="Times New Roman"/>
          <w:lang w:eastAsia="x-none"/>
        </w:rPr>
      </w:pPr>
      <w:bookmarkStart w:id="4" w:name="_Hlk206143388"/>
      <w:r w:rsidRPr="008C0385">
        <w:rPr>
          <w:rFonts w:eastAsia="Times New Roman"/>
          <w:b/>
          <w:bCs/>
          <w:lang w:eastAsia="x-none"/>
        </w:rPr>
        <w:t xml:space="preserve">Автомобиль </w:t>
      </w:r>
      <w:r w:rsidRPr="008C0385">
        <w:rPr>
          <w:rFonts w:eastAsia="Times New Roman"/>
          <w:b/>
          <w:bCs/>
          <w:lang w:val="en-US" w:eastAsia="x-none"/>
        </w:rPr>
        <w:t>Lada</w:t>
      </w:r>
      <w:r w:rsidRPr="008C0385">
        <w:rPr>
          <w:rFonts w:eastAsia="Times New Roman"/>
          <w:b/>
          <w:bCs/>
          <w:lang w:eastAsia="x-none"/>
        </w:rPr>
        <w:t xml:space="preserve"> </w:t>
      </w:r>
      <w:r w:rsidRPr="008C0385">
        <w:rPr>
          <w:rFonts w:eastAsia="Times New Roman"/>
          <w:b/>
          <w:bCs/>
          <w:lang w:val="en-US" w:eastAsia="x-none"/>
        </w:rPr>
        <w:t>Granta</w:t>
      </w:r>
      <w:r w:rsidRPr="008C0385">
        <w:rPr>
          <w:rFonts w:eastAsia="Times New Roman"/>
          <w:b/>
          <w:bCs/>
          <w:lang w:eastAsia="x-none"/>
        </w:rPr>
        <w:t xml:space="preserve">, </w:t>
      </w:r>
      <w:r w:rsidRPr="008C0385">
        <w:rPr>
          <w:rFonts w:eastAsia="Times New Roman"/>
          <w:lang w:eastAsia="x-none"/>
        </w:rPr>
        <w:t>год выпуска 2020, кузов №</w:t>
      </w:r>
      <w:r w:rsidRPr="008C0385">
        <w:rPr>
          <w:rFonts w:eastAsia="Times New Roman"/>
          <w:lang w:val="en-US" w:eastAsia="x-none"/>
        </w:rPr>
        <w:t>XTA</w:t>
      </w:r>
      <w:r w:rsidRPr="008C0385">
        <w:rPr>
          <w:rFonts w:eastAsia="Times New Roman"/>
          <w:lang w:eastAsia="x-none"/>
        </w:rPr>
        <w:t>219070</w:t>
      </w:r>
      <w:r w:rsidRPr="008C0385">
        <w:rPr>
          <w:rFonts w:eastAsia="Times New Roman"/>
          <w:lang w:val="en-US" w:eastAsia="x-none"/>
        </w:rPr>
        <w:t>M</w:t>
      </w:r>
      <w:r w:rsidRPr="008C0385">
        <w:rPr>
          <w:rFonts w:eastAsia="Times New Roman"/>
          <w:lang w:eastAsia="x-none"/>
        </w:rPr>
        <w:t>0752546, шасси (рама) № Отсутствует, цвет: белый. Ключи в наличии.</w:t>
      </w:r>
    </w:p>
    <w:p w14:paraId="7F761061" w14:textId="77777777" w:rsidR="008C0385" w:rsidRPr="008C0385" w:rsidRDefault="008C0385" w:rsidP="008C0385">
      <w:pPr>
        <w:ind w:firstLine="709"/>
        <w:jc w:val="both"/>
        <w:rPr>
          <w:rFonts w:eastAsia="Times New Roman"/>
          <w:lang w:eastAsia="x-none"/>
        </w:rPr>
      </w:pPr>
      <w:r w:rsidRPr="008C0385">
        <w:rPr>
          <w:rFonts w:eastAsia="Times New Roman"/>
          <w:b/>
          <w:bCs/>
          <w:lang w:eastAsia="x-none"/>
        </w:rPr>
        <w:t xml:space="preserve">Ограничения/обременения: </w:t>
      </w:r>
      <w:r w:rsidRPr="008C0385">
        <w:rPr>
          <w:rFonts w:eastAsia="Times New Roman"/>
          <w:lang w:eastAsia="x-none"/>
        </w:rPr>
        <w:t>в залоге у Публичного акционерного общества Социального коммерческого банка Приморья "Примсоцбанк".</w:t>
      </w:r>
      <w:bookmarkEnd w:id="4"/>
    </w:p>
    <w:p w14:paraId="735A8442" w14:textId="77777777" w:rsidR="00C704A5" w:rsidRPr="00B47DA2" w:rsidRDefault="00C704A5" w:rsidP="00C704A5">
      <w:pPr>
        <w:ind w:firstLine="709"/>
        <w:jc w:val="both"/>
      </w:pPr>
    </w:p>
    <w:p w14:paraId="7290CB97" w14:textId="28A9A0A8" w:rsidR="00C704A5" w:rsidRPr="008C0385" w:rsidRDefault="00C704A5" w:rsidP="00C704A5">
      <w:pPr>
        <w:jc w:val="both"/>
        <w:rPr>
          <w:b/>
          <w:bCs/>
          <w:color w:val="000000"/>
        </w:rPr>
      </w:pPr>
      <w:r w:rsidRPr="003E3EC0">
        <w:rPr>
          <w:b/>
          <w:bCs/>
        </w:rPr>
        <w:t xml:space="preserve">Начальная цена: </w:t>
      </w:r>
      <w:r w:rsidR="008C0385">
        <w:rPr>
          <w:b/>
          <w:bCs/>
          <w:color w:val="0070C0"/>
        </w:rPr>
        <w:t>441 900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8C0385" w:rsidRPr="008C0385">
        <w:rPr>
          <w:color w:val="000000"/>
        </w:rPr>
        <w:t xml:space="preserve">Четыреста сорок одна тысяча девятьсот) </w:t>
      </w:r>
      <w:r w:rsidR="008C0385" w:rsidRPr="008C0385">
        <w:rPr>
          <w:b/>
          <w:bCs/>
          <w:color w:val="000000"/>
        </w:rPr>
        <w:t xml:space="preserve">руб. 00 коп., </w:t>
      </w:r>
      <w:r w:rsidR="008C0385" w:rsidRPr="008C0385">
        <w:rPr>
          <w:bCs/>
          <w:color w:val="000000"/>
        </w:rPr>
        <w:t>НДС</w:t>
      </w:r>
      <w:r w:rsidR="008C0385" w:rsidRPr="008C0385">
        <w:rPr>
          <w:b/>
          <w:bCs/>
          <w:color w:val="000000"/>
        </w:rPr>
        <w:t xml:space="preserve"> </w:t>
      </w:r>
      <w:r w:rsidR="008C0385" w:rsidRPr="008C0385">
        <w:rPr>
          <w:color w:val="000000"/>
        </w:rPr>
        <w:t>не облагается</w:t>
      </w:r>
    </w:p>
    <w:p w14:paraId="0D7BD6E1" w14:textId="63FF38FB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6A29F2">
        <w:rPr>
          <w:b/>
          <w:bCs/>
          <w:color w:val="0070C0"/>
        </w:rPr>
        <w:t>265 140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6A29F2">
        <w:rPr>
          <w:lang w:eastAsia="en-US"/>
        </w:rPr>
        <w:t>Двести шестьдесят пять тысяч сто сорок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B07483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9A04CD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E61487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816A806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6A29F2">
        <w:rPr>
          <w:b/>
          <w:bCs/>
          <w:color w:val="0070C0"/>
          <w:lang w:eastAsia="en-US"/>
        </w:rPr>
        <w:t>22 095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6A29F2">
        <w:rPr>
          <w:lang w:eastAsia="en-US"/>
        </w:rPr>
        <w:t>Двадцать две</w:t>
      </w:r>
      <w:r w:rsidR="00E61487">
        <w:rPr>
          <w:lang w:eastAsia="en-US"/>
        </w:rPr>
        <w:t xml:space="preserve"> тысяч</w:t>
      </w:r>
      <w:r w:rsidR="006A29F2">
        <w:rPr>
          <w:lang w:eastAsia="en-US"/>
        </w:rPr>
        <w:t>и девяносто пять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1B2972A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EE40A7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6AB62D56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E61487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A77457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73524EC3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3DF6B76B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114554D6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0DB5B0BB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441 900,00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3A28DC00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44 190,00 ₽</w:t>
            </w:r>
          </w:p>
        </w:tc>
      </w:tr>
      <w:tr w:rsidR="00A77457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4D585441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69F858DA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7569847A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29FC8F23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419 805,00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3E40D6F7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41 980,50 ₽</w:t>
            </w:r>
          </w:p>
        </w:tc>
      </w:tr>
      <w:tr w:rsidR="00A77457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4B758767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62818C87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531AB349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7E0C45C3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397 710,00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3FBED61F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39 771,00 ₽</w:t>
            </w:r>
          </w:p>
        </w:tc>
      </w:tr>
      <w:tr w:rsidR="00A77457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25087563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27E3BDF0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323C4F50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07424729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375 615,00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5769E5D4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37 561,50 ₽</w:t>
            </w:r>
          </w:p>
        </w:tc>
      </w:tr>
      <w:tr w:rsidR="00A77457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48121371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02.02.26 9:00</w:t>
            </w:r>
          </w:p>
        </w:tc>
        <w:tc>
          <w:tcPr>
            <w:tcW w:w="2040" w:type="dxa"/>
            <w:noWrap/>
            <w:vAlign w:val="bottom"/>
          </w:tcPr>
          <w:p w14:paraId="138A7C48" w14:textId="7C6FA96B" w:rsidR="00A77457" w:rsidRPr="00510902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07.02.26 9:00</w:t>
            </w:r>
          </w:p>
        </w:tc>
        <w:tc>
          <w:tcPr>
            <w:tcW w:w="2200" w:type="dxa"/>
            <w:noWrap/>
            <w:vAlign w:val="bottom"/>
          </w:tcPr>
          <w:p w14:paraId="42CE9792" w14:textId="7E0C6487" w:rsidR="00A77457" w:rsidRPr="004D4F78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</w:tcPr>
          <w:p w14:paraId="0A998579" w14:textId="1AFB3DC8" w:rsidR="00A77457" w:rsidRPr="004D4F78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353 520,00 ₽</w:t>
            </w:r>
          </w:p>
        </w:tc>
        <w:tc>
          <w:tcPr>
            <w:tcW w:w="1960" w:type="dxa"/>
            <w:noWrap/>
            <w:vAlign w:val="bottom"/>
          </w:tcPr>
          <w:p w14:paraId="3EA226BC" w14:textId="7FADD0C4" w:rsidR="00A77457" w:rsidRPr="004D4F78" w:rsidRDefault="00A77457" w:rsidP="00A7745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35 352,00 ₽</w:t>
            </w:r>
          </w:p>
        </w:tc>
      </w:tr>
      <w:tr w:rsidR="00A77457" w:rsidRPr="00512048" w14:paraId="1C9945D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A90027C" w14:textId="4A2EF660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07.02.26 9:00</w:t>
            </w:r>
          </w:p>
        </w:tc>
        <w:tc>
          <w:tcPr>
            <w:tcW w:w="2040" w:type="dxa"/>
            <w:noWrap/>
            <w:vAlign w:val="bottom"/>
          </w:tcPr>
          <w:p w14:paraId="61BC24FD" w14:textId="06AE8E6E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12.02.26 9:00</w:t>
            </w:r>
          </w:p>
        </w:tc>
        <w:tc>
          <w:tcPr>
            <w:tcW w:w="2200" w:type="dxa"/>
            <w:noWrap/>
            <w:vAlign w:val="bottom"/>
          </w:tcPr>
          <w:p w14:paraId="09E3E4DE" w14:textId="719AC55C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</w:tcPr>
          <w:p w14:paraId="06CFBBCB" w14:textId="59924B7D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331 425,00 ₽</w:t>
            </w:r>
          </w:p>
        </w:tc>
        <w:tc>
          <w:tcPr>
            <w:tcW w:w="1960" w:type="dxa"/>
            <w:noWrap/>
            <w:vAlign w:val="bottom"/>
          </w:tcPr>
          <w:p w14:paraId="6A64157D" w14:textId="5C66D7FF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33 142,50 ₽</w:t>
            </w:r>
          </w:p>
        </w:tc>
      </w:tr>
      <w:tr w:rsidR="00A77457" w:rsidRPr="00512048" w14:paraId="6BAC24B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E34D33C" w14:textId="70792674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12.02.26 9:00</w:t>
            </w:r>
          </w:p>
        </w:tc>
        <w:tc>
          <w:tcPr>
            <w:tcW w:w="2040" w:type="dxa"/>
            <w:noWrap/>
            <w:vAlign w:val="bottom"/>
          </w:tcPr>
          <w:p w14:paraId="7B9884DA" w14:textId="72C521A7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200" w:type="dxa"/>
            <w:noWrap/>
            <w:vAlign w:val="bottom"/>
          </w:tcPr>
          <w:p w14:paraId="252D9A4E" w14:textId="0FA90B11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</w:tcPr>
          <w:p w14:paraId="61856698" w14:textId="631A4757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309 330,00 ₽</w:t>
            </w:r>
          </w:p>
        </w:tc>
        <w:tc>
          <w:tcPr>
            <w:tcW w:w="1960" w:type="dxa"/>
            <w:noWrap/>
            <w:vAlign w:val="bottom"/>
          </w:tcPr>
          <w:p w14:paraId="55BDC144" w14:textId="022FCF58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30 933,00 ₽</w:t>
            </w:r>
          </w:p>
        </w:tc>
      </w:tr>
      <w:tr w:rsidR="00A77457" w:rsidRPr="00512048" w14:paraId="2B95997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9E64EF4" w14:textId="7F32044F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040" w:type="dxa"/>
            <w:noWrap/>
            <w:vAlign w:val="bottom"/>
          </w:tcPr>
          <w:p w14:paraId="336FA5BB" w14:textId="3CDC4463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22.02.26 9:00</w:t>
            </w:r>
          </w:p>
        </w:tc>
        <w:tc>
          <w:tcPr>
            <w:tcW w:w="2200" w:type="dxa"/>
            <w:noWrap/>
            <w:vAlign w:val="bottom"/>
          </w:tcPr>
          <w:p w14:paraId="5D35CE86" w14:textId="693853EB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</w:tcPr>
          <w:p w14:paraId="7440D17A" w14:textId="30F842ED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287 235,00 ₽</w:t>
            </w:r>
          </w:p>
        </w:tc>
        <w:tc>
          <w:tcPr>
            <w:tcW w:w="1960" w:type="dxa"/>
            <w:noWrap/>
            <w:vAlign w:val="bottom"/>
          </w:tcPr>
          <w:p w14:paraId="75B13D9D" w14:textId="3F2C4ECC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28 723,50 ₽</w:t>
            </w:r>
          </w:p>
        </w:tc>
      </w:tr>
      <w:tr w:rsidR="00A77457" w:rsidRPr="00512048" w14:paraId="16C2FBCB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0B33A46" w14:textId="21D7B3A4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22.02.26 9:00</w:t>
            </w:r>
          </w:p>
        </w:tc>
        <w:tc>
          <w:tcPr>
            <w:tcW w:w="2040" w:type="dxa"/>
            <w:noWrap/>
            <w:vAlign w:val="bottom"/>
          </w:tcPr>
          <w:p w14:paraId="56CF7A47" w14:textId="6B1351A6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27.02.26 9:00</w:t>
            </w:r>
          </w:p>
        </w:tc>
        <w:tc>
          <w:tcPr>
            <w:tcW w:w="2200" w:type="dxa"/>
            <w:noWrap/>
            <w:vAlign w:val="bottom"/>
          </w:tcPr>
          <w:p w14:paraId="7092D061" w14:textId="5F303A8C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22 095,00 ₽</w:t>
            </w:r>
          </w:p>
        </w:tc>
        <w:tc>
          <w:tcPr>
            <w:tcW w:w="2180" w:type="dxa"/>
            <w:noWrap/>
            <w:vAlign w:val="bottom"/>
          </w:tcPr>
          <w:p w14:paraId="4B510A3B" w14:textId="584306C4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265 140,00 ₽</w:t>
            </w:r>
          </w:p>
        </w:tc>
        <w:tc>
          <w:tcPr>
            <w:tcW w:w="1960" w:type="dxa"/>
            <w:noWrap/>
            <w:vAlign w:val="bottom"/>
          </w:tcPr>
          <w:p w14:paraId="7F024FF9" w14:textId="1E677B5A" w:rsidR="00A77457" w:rsidRDefault="00A77457" w:rsidP="00A77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26 514,00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5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333405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2" w:history="1">
        <w:r w:rsidR="00667566" w:rsidRPr="00C772A0">
          <w:rPr>
            <w:rStyle w:val="af"/>
          </w:rPr>
          <w:t>https://catalog.lot-online.ru/images/docs/regulations/reglament_zadatok_bkr.pdf?_t=1658847783</w:t>
        </w:r>
      </w:hyperlink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</w:t>
      </w:r>
      <w:r w:rsidRPr="00F30D8B">
        <w:lastRenderedPageBreak/>
        <w:t xml:space="preserve">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lastRenderedPageBreak/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636E3D8E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</w:t>
      </w:r>
      <w:r>
        <w:rPr>
          <w:b/>
          <w:bCs/>
        </w:rPr>
        <w:t>.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46F4E17A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8E4B" w14:textId="77777777" w:rsidR="00392EB3" w:rsidRDefault="00392EB3" w:rsidP="008C3E4E">
      <w:r>
        <w:separator/>
      </w:r>
    </w:p>
  </w:endnote>
  <w:endnote w:type="continuationSeparator" w:id="0">
    <w:p w14:paraId="280E2C94" w14:textId="77777777" w:rsidR="00392EB3" w:rsidRDefault="00392EB3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EAD6" w14:textId="77777777" w:rsidR="00392EB3" w:rsidRDefault="00392EB3" w:rsidP="008C3E4E">
      <w:r>
        <w:separator/>
      </w:r>
    </w:p>
  </w:footnote>
  <w:footnote w:type="continuationSeparator" w:id="0">
    <w:p w14:paraId="68E3102F" w14:textId="77777777" w:rsidR="00392EB3" w:rsidRDefault="00392EB3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B5985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27FBE"/>
    <w:rsid w:val="002350BA"/>
    <w:rsid w:val="00235797"/>
    <w:rsid w:val="0023693E"/>
    <w:rsid w:val="002406CF"/>
    <w:rsid w:val="00245818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655CF"/>
    <w:rsid w:val="00372341"/>
    <w:rsid w:val="00373294"/>
    <w:rsid w:val="00375B6B"/>
    <w:rsid w:val="0038024D"/>
    <w:rsid w:val="00380DD9"/>
    <w:rsid w:val="00381181"/>
    <w:rsid w:val="0038542B"/>
    <w:rsid w:val="00386888"/>
    <w:rsid w:val="00392EB3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1DD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39FF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6E70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29F2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0385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6D3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77457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07483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416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487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0A7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3C3C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44FADEEA-E96A-41A2-B83C-5E44E09E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mages/docs/regulations/reglament_zadatok_bkr.pdf?_t=16588477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5</Pages>
  <Words>2260</Words>
  <Characters>15845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18069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9</cp:revision>
  <cp:lastPrinted>2017-11-23T14:19:00Z</cp:lastPrinted>
  <dcterms:created xsi:type="dcterms:W3CDTF">2020-12-02T07:22:00Z</dcterms:created>
  <dcterms:modified xsi:type="dcterms:W3CDTF">2026-01-13T01:37:00Z</dcterms:modified>
</cp:coreProperties>
</file>