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 ___________________________, действующего на основании _____________________, с одной стороны, и  _______________________________________________, именуемый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заключили настоящий договор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3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_Ref14059422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ежилое помещение, количество этажей 1, общей площадью 291,2 (Двести девяносто одна целая две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есятых) квадратных метров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Имущества: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02:56:050105:1680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 расположено по адресу: </w:t>
      </w:r>
      <w:r>
        <w:rPr>
          <w:rFonts w:ascii="Times New Roman" w:hAnsi="Times New Roman" w:eastAsia="Times New Roman" w:cs="Times New Roman" w:eastAsiaTheme="minorEastAsia"/>
          <w:bCs/>
          <w:sz w:val="24"/>
          <w:szCs w:val="24"/>
          <w:lang w:eastAsia="ru-RU"/>
        </w:rPr>
        <w:t xml:space="preserve">Республи</w:t>
      </w:r>
      <w:r>
        <w:rPr>
          <w:rFonts w:ascii="Times New Roman" w:hAnsi="Times New Roman" w:eastAsia="Times New Roman" w:cs="Times New Roman" w:eastAsiaTheme="minorEastAsia"/>
          <w:bCs/>
          <w:sz w:val="24"/>
          <w:szCs w:val="24"/>
          <w:lang w:eastAsia="ru-RU"/>
        </w:rPr>
        <w:t xml:space="preserve">ка Башкортостан, г. Стерлитамак, ул. Артема, д. 149, пом.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 принадлежит Продавцу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праве собствен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ности на основании Акта приема-передачи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б/н от 09.01.2008г, Договора инвестирования строительства объекта недвижимости №2-2609 от 26.09.2006г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 записью регистрации в Едином государственном реестре прав на недвижимое имущество и сделок с ним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02-04-17/010/2008-091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27.03.20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08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Выписк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диного государственного реестра недвижимости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осно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вных характеристиках и зарегистрированных правах на объект недвижимости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30.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0.20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 находится </w:t>
      </w: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на земельном участке, который расположен под жилым домом. Земельный участок принадлежит ПАО Сбербанк по праву общедолевой собственности. Согласно ст. 552 ГК РФ при переходе права собственности на недвижимое иму</w:t>
      </w: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 xml:space="preserve">щество к Покупателю одновременно передаются права на земельный участок, занятый недвижимостью и необходимый для ее использования</w:t>
      </w:r>
      <w:r>
        <w:rPr>
          <w:rFonts w:ascii="Times New Roman" w:hAnsi="Times New Roman" w:eastAsia="Times New Roman" w:cs="Times New Roman" w:eastAsiaTheme="minorEastAsia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изменения площади Имущества в результате узаконения стоимость не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меняется.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1.2.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сохранить такое положение Имущества до перехода права собственности на него к Покупателю.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1.3.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Срок действия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tabs>
          <w:tab w:val="left" w:pos="-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" w:name="_Ref48588943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заключенным в момент подписания его Сторонами и действует до полного исполнения Сторонами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left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передает Покупателю Имущество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Акту приема-передачи,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оставленному по форме Приложения № 1 к Договору,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позднее (трех) месяцев со дня подписания договора купли-продажи после освобождения Продавцом Имущества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поступления на счет Продавца в полном объёме денежных средств в оплату стоимости Имущества (в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 регистрации прав»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2" w:name="_Ref82097368"/>
      <w:r/>
      <w:bookmarkStart w:id="3" w:name="_Ref1436568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от Продавца к Покупателю, Стороны обязуются предпринять все зависящие от них действия, необходимые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2"/>
      <w:r/>
      <w:bookmarkEnd w:id="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4" w:name="_Ref12735267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состоянии, в котором Покупатель принимал Имущество от Продавца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 передается Покупателю без оборудования и инженерных систем (кондиционирования, тревожной сигнализации, охранно-пожарной сигнализации).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Имущество передается с учетом того, что Покупатель при необходимости, узаконивает перепланировку своего помещения, площадью 291,2 кв.м., своими силами и за свой счет.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Оплата по Договору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5" w:name="_Ref48633485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r/>
      <w:bookmarkEnd w:id="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стоимость Имущества по Договору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оставляет: ________ (____________) ________, кроме того НДС (20 %) в размере ________ (____________) ________, итого с учетом НДС: ________ (____________) 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7" w:name="_Ref17967631"/>
      <w:r/>
      <w:bookmarkStart w:id="8" w:name="_Ref48633473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 </w:t>
      </w:r>
      <w:bookmarkEnd w:id="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Задаток, уплаченный Покупателем организатору торгов в форме аукциона _______________ на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 в размере __________ (________), в том числе НДС __________ (________).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4.3.</w:t>
      </w:r>
      <w:bookmarkStart w:id="9" w:name="_Ref82174936"/>
      <w:r/>
      <w:bookmarkStart w:id="10" w:name="_Ref1686187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bookmarkEnd w:id="8"/>
      <w:r/>
      <w:bookmarkEnd w:id="9"/>
      <w:r/>
      <w:bookmarkEnd w:id="1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Оплата Имущества (оставшейся части в размере ________ (____________) ________, включая НДС (20 %) осуществляется Покупателем единовременно, в полном объеме, в течение 10 (десяти) рабочих дней со дня подписания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 Расчеты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Договору производятся в рублях, путем безналичного перечисления денежных средств на счет Продавца, указанный в разделе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4.5. Датой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исполнения обязательств Покупателя по оплате Имущества считается дата поступления денежных средств на счет Продавца, указанный в разделе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4.6.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мущество, несет Покупатель в установленном законодательством Российской Федерации порядке.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4.7.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Счет-фактура предоставляется в порядке и в сроки,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4.8. </w:t>
      </w:r>
      <w:bookmarkStart w:id="11" w:name="_Ref486333023"/>
      <w:r/>
      <w:bookmarkStart w:id="12" w:name="_Ref8217420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до дня заключения Покупателем коммунальных, эксплуат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1"/>
      <w:r/>
      <w:bookmarkEnd w:id="1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4.9.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отсутствии индивидуальных узлов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(приборов) учета сумма расходов Продавца, включая НДС, связанных с содержанием Объекта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4.10. </w:t>
      </w: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4.11. </w:t>
      </w:r>
      <w:bookmarkStart w:id="13" w:name="_Ref14059328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имущество и земельного налога за период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до даты государственной регистрации перехода права собственнос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 на Имущество, в срок не позднее 5 (пяти) рабочих дней со дня получения от Продавца счета/расчета и копий подтверждающих документов, в том числе платежных документов. При этом сумма возмещения указанных расходов Продавца рассчитывается следующим образом:</w:t>
      </w:r>
      <w:bookmarkEnd w:id="1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после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того же месяца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Покупателем,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образуется в силу пункта 5 статьи 382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НК РФ (налог на имущество), пункта 7 статьи 396 НК РФ (земельный налог).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1039"/>
        <w:numPr>
          <w:ilvl w:val="0"/>
          <w:numId w:val="9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 обязуются: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4" w:name="_Ref52745158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Пяти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к Покупателю по Договору.</w:t>
      </w:r>
      <w:bookmarkEnd w:id="1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 обязуется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Одновременно с подписанием акта приема-передачи, указанного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7"/>
        </w:numPr>
        <w:contextualSpacing/>
        <w:ind w:left="0" w:firstLine="70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выплате дохода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 xml:space="preserve">ставке и осуществить расчеты с бюджетом в порядке и сроки, установленные пунктами 4 и 6 статьи 226 НК РФ.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5" w:name="_Ref1232162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и оплатить Имущество в порядке и на условиях, установленных Договором.</w:t>
      </w:r>
      <w:bookmarkEnd w:id="1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6" w:name="_Ref12149458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20 (двадцати) рабочих дней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даты (включая эту дату) подписания акта приема-передачи, указанного в пункте 3.1 Договора,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7" w:name="_Ref138686036"/>
      <w:r/>
      <w:bookmarkStart w:id="18" w:name="_Ref48633263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НДС, связанные с содержанием Имущества, указанные в пунктах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4.8.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Договора.</w:t>
      </w:r>
      <w:bookmarkEnd w:id="1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039"/>
        <w:numPr>
          <w:ilvl w:val="2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Покупатель обязуется за свой счет провести работы по переоформлению документации и подключению сетей по электроснабжению, водоснабжению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теплоснабжению, водоотведению,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необходимые для заключения отдельного договора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ресурс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набжающими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организациями с момента подписания акта приема-передачи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двадцат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рабочих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дней, при наличии технической возможности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4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1428"/>
        <w:jc w:val="both"/>
        <w:spacing w:after="0"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</w:r>
      <w:bookmarkEnd w:id="18"/>
      <w:r>
        <w:rPr>
          <w:rFonts w:ascii="Times New Roman" w:hAnsi="Times New Roman"/>
          <w:color w:val="ff0000"/>
          <w:sz w:val="24"/>
        </w:rPr>
      </w:r>
      <w:r>
        <w:rPr>
          <w:rFonts w:ascii="Times New Roman" w:hAnsi="Times New Roman"/>
          <w:color w:val="ff0000"/>
          <w:sz w:val="24"/>
        </w:rPr>
      </w:r>
    </w:p>
    <w:p>
      <w:pPr>
        <w:numPr>
          <w:ilvl w:val="0"/>
          <w:numId w:val="9"/>
        </w:numPr>
        <w:contextualSpacing/>
        <w:ind w:left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также срока возмещения расходов,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уплачивает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целых одной десятой процента)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общей стоимости Имущества,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за каждый календарный день просрочки, но не более 10 % (десяти процентов)</w:t>
      </w:r>
      <w: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этой стоимости.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30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фиксируют данные несоответств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Продавец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9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1" w:name="_Ref321054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подписания Сторонами актов приема-передачи Имущества (возврата Имущества Продавцу).</w:t>
      </w:r>
      <w:bookmarkEnd w:id="2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9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Обстоятельства непреодолимой силы (форс-мажор)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обстоятельствам непреодолимой силы (форс-мажору) относятся: война, 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свои обязательства по Договору из-за обстоятельств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Несвоевременное уведомление об обстоятельствах непреодоли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4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Конфиденциальность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7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конфиденциальной информации в письменной форме (в 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числе,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является нарушением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разрешения споров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bookmarkStart w:id="22" w:name="_Ref1393199"/>
      <w:r/>
      <w:bookmarkEnd w:id="2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неурегулирования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Договора, спор передается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 рассмотрение суда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соответствии с действующим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Прочие условия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23" w:name="_Ref82077350"/>
      <w:r>
        <w:rPr>
          <w:rFonts w:ascii="Times New Roman" w:hAnsi="Times New Roman"/>
          <w:sz w:val="24"/>
        </w:rPr>
        <w:t xml:space="preserve"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должны направлятьс</w:t>
      </w:r>
      <w:r>
        <w:rPr>
          <w:sz w:val="24"/>
          <w:szCs w:val="24"/>
        </w:rPr>
        <w:t xml:space="preserve"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приобретают юридическую силу с момента доставки адресату, за исключением случаев, отдельно оговоренных в Договоре.</w:t>
      </w:r>
      <w:bookmarkEnd w:id="23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</w:t>
      </w:r>
      <w:r>
        <w:rPr>
          <w:rFonts w:ascii="Times New Roman" w:hAnsi="Times New Roman" w:cs="Times New Roman"/>
          <w:sz w:val="24"/>
          <w:szCs w:val="24"/>
        </w:rPr>
        <w:t xml:space="preserve">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способы направления юридически значимых сообщений: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через собственного курьера под расписку на копии;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через курьерскую службу с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почте с уведомлением о вручении и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телеграммой с уведомлением о вручении.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 xml:space="preserve"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 xml:space="preserve">crem</w:t>
      </w:r>
      <w:r>
        <w:rPr>
          <w:rFonts w:ascii="Times New Roman" w:hAnsi="Times New Roman"/>
          <w:b/>
          <w:sz w:val="24"/>
        </w:rPr>
        <w:t xml:space="preserve">@</w:t>
      </w:r>
      <w:r>
        <w:rPr>
          <w:rFonts w:ascii="Times New Roman" w:hAnsi="Times New Roman"/>
          <w:b/>
          <w:sz w:val="24"/>
          <w:lang w:val="en-US"/>
        </w:rPr>
        <w:t xml:space="preserve">sberbank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b/>
          <w:sz w:val="24"/>
          <w:lang w:val="en-US"/>
        </w:rPr>
        <w:t xml:space="preserve">ru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 xml:space="preserve">Недвижимого имущества</w:t>
      </w:r>
      <w:r>
        <w:rPr>
          <w:rFonts w:ascii="Times New Roman" w:hAnsi="Times New Roman"/>
          <w:sz w:val="24"/>
        </w:rPr>
        <w:t xml:space="preserve">. Информация, направленная на указанный почтовый адрес, не является юридически значимым сообщением по смыслу статьи 165.1 ГК РФ.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изм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ходе исполнения Договора запрещается подключение любого оборудования Покупателя к ИТ-инфраструктуре Продавца, а также допуск работников Покупателя к работе на средствах вычислительной техники и в автоматизированных системах Продавца.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Антикоррупционной оговорке»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(Приложении №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 Договору).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осуществляющего государственную регистрацию прав на недвижимое имущество и сделок с ним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вопросам, не урегулированным в Договоре,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Приложения к Договору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Акта приема-передачи 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листе.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2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План 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листе.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3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Антикоррупционная оговорка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– на 2 листах.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/>
      <w:bookmarkStart w:id="24" w:name="_Ref48632862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Реквизиты и подписи Сторон</w:t>
      </w:r>
      <w:bookmarkStart w:id="25" w:name="_Ref126658428"/>
      <w:r/>
      <w:bookmarkEnd w:id="2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bookmarkEnd w:id="2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(сокращенное наименование)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Местонахождение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 адрес 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Расчетный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Корр.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БИК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ОКВЭД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ОКПО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КПП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ОГРН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Публичное акционерное общество «Сбербанк России», ПАО Сбербанк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Юр. адрес: 117997, г. Москва, ул. Вавилова, д.19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Филиал: Башкирское отделение № 8598 ПАО Сбербанк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Почт.адрес:450059, г. Уфа, ул. Р. Зорге, д.5.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Для расчетов: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Уральский банк ПАО Сбербанк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ИНН/КПП: 7707083893/667102008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Кор/счет: 30101810500000000674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Р/счет: 60311810016000200000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Главное Уральское управление Банка России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Банк: Уральский банк ПАО Сбербанк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БИК: 046577674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Для счетов-фактур: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Грузополучатель и его адрес: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Башкирское отделение № 8598 ПАО Сбербанк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450059, г. Уфа, ул. Р. Зорге, 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Адрес эл. почты: 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ubinfo</w:t>
      </w:r>
      <w:r>
        <w:fldChar w:fldCharType="begin"/>
      </w:r>
      <w:r>
        <w:instrText xml:space="preserve"> HYPERLINK "mailto:Dogovor-ural@sberbank.ru" </w:instrText>
      </w:r>
      <w:r>
        <w:fldChar w:fldCharType="separate"/>
      </w:r>
      <w:r>
        <w:rPr>
          <w:rStyle w:val="1059"/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@</w:t>
      </w:r>
      <w:r>
        <w:rPr>
          <w:rStyle w:val="1059"/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sberbank</w:t>
      </w:r>
      <w:r>
        <w:rPr>
          <w:rStyle w:val="1059"/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Style w:val="1059"/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ru</w:t>
      </w:r>
      <w:r>
        <w:rPr>
          <w:rStyle w:val="1059"/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Тел./факс: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88007070070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доб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64220531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68"/>
        </w:trPr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keepLines/>
        <w:keepNext/>
        <w:spacing w:before="480" w:after="0" w:line="276" w:lineRule="auto"/>
        <w:rPr>
          <w:rFonts w:ascii="Times New Roman" w:hAnsi="Times New Roman"/>
          <w:color w:val="365f91"/>
          <w:sz w:val="24"/>
        </w:rPr>
        <w:outlineLvl w:val="0"/>
      </w:pPr>
      <w:r>
        <w:rPr>
          <w:rFonts w:ascii="Times New Roman" w:hAnsi="Times New Roman"/>
          <w:b/>
          <w:sz w:val="24"/>
        </w:rPr>
        <w:t xml:space="preserve">Приложение № 1</w:t>
      </w:r>
      <w:r>
        <w:rPr>
          <w:rFonts w:ascii="Times New Roman" w:hAnsi="Times New Roman"/>
          <w:color w:val="365f91"/>
          <w:sz w:val="24"/>
        </w:rPr>
      </w:r>
      <w:r>
        <w:rPr>
          <w:rFonts w:ascii="Times New Roman" w:hAnsi="Times New Roman"/>
          <w:color w:val="365f91"/>
          <w:sz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купли-продажи недвижимого имущества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Акта 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 ______________, действующего на основании _____________________, с одной стороны,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______________, именуем__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____________________, действующего на основании 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«Акт»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договора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 Продавец передает Покупателю, а Покупатель принимает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ежилое помещение, количество этажей 1, общей площадью 291,2 (Двести девяносто одна целая две десятых) квадратных метров (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Имущества: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02:56:050105:1680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 расположено по адресу: </w:t>
      </w:r>
      <w:r>
        <w:rPr>
          <w:rFonts w:ascii="Times New Roman" w:hAnsi="Times New Roman" w:eastAsia="Times New Roman" w:cs="Times New Roman" w:eastAsiaTheme="minorEastAsia"/>
          <w:bCs/>
          <w:sz w:val="24"/>
          <w:szCs w:val="24"/>
          <w:lang w:eastAsia="ru-RU"/>
        </w:rPr>
        <w:t xml:space="preserve">Республи</w:t>
      </w:r>
      <w:r>
        <w:rPr>
          <w:rFonts w:ascii="Times New Roman" w:hAnsi="Times New Roman" w:eastAsia="Times New Roman" w:cs="Times New Roman" w:eastAsiaTheme="minorEastAsia"/>
          <w:bCs/>
          <w:sz w:val="24"/>
          <w:szCs w:val="24"/>
          <w:lang w:eastAsia="ru-RU"/>
        </w:rPr>
        <w:t xml:space="preserve">ка Башкортостан, г. Стерлитамак, ул. Артема, д. 149, пом.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Стоимость переданного Имущества по Договору составляет: ________ (____________), включая НДС (20 %) в размере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 (____________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определена по результатам аукциона, является окончательной и изменению не подлежит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Имущество осмотрено Покупателем. Имущество передано Продавцом и принято Покупателем в удовлетворительном состоянии. Покупатель не имеет претензий к Продавцу по состоянию полученного 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 на момент передачи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 отсутствуют. Стороны претензий друг к другу не имеют.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Взаиморасчеты по договору купли-продажи недвижимого имущества №___________ от _______ 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произведены в полном объеме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 приема-передачи Имущества составлен в 3 (трех) экземплярах по одному для каждой из Сторон, а также один экземпляр – для органа, осуществляющего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План Имущества: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291,2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 этаж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72075" cy="48672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7419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172074" cy="4867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7.25pt;height:383.2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Calibri" w:cs="Times New Roman"/>
          <w:b/>
          <w:bCs/>
          <w:iCs/>
          <w:sz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</w:rPr>
        <w:t xml:space="preserve">Подписи Сторон</w:t>
      </w:r>
      <w:r>
        <w:rPr>
          <w:rFonts w:ascii="Times New Roman" w:hAnsi="Times New Roman" w:eastAsia="Calibri" w:cs="Times New Roman"/>
          <w:b/>
          <w:bCs/>
          <w:iCs/>
          <w:sz w:val="24"/>
        </w:rPr>
      </w:r>
      <w:r>
        <w:rPr>
          <w:rFonts w:ascii="Times New Roman" w:hAnsi="Times New Roman" w:eastAsia="Calibri" w:cs="Times New Roman"/>
          <w:b/>
          <w:bCs/>
          <w:iCs/>
          <w:sz w:val="24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 При заключении, исполнении, изменении и расторжении Договора Стороны принимают на себя следующие обязательства: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1.1.1.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Стороны, их работники, уполномоченные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1.1.2.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1.1.3.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1.2. Положения пункта 1.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на отношения, возникшие до его заключения, но связанные с заключением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настоящего Приложения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ответе она должна привести возражения в отношении направленных сведений о Нарушении коррупционной направленности.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1.4. В случаях (i) получения Стороной от другой Стороны ответа, подтверждающего Нарушение коррупционной направленности, или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отсутствия в полученном Стороной ответе от другой Стороны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с даты получения другой Стороной соответств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Calibri" w:cs="Times New Roman"/>
          <w:b/>
          <w:bCs/>
          <w:iCs/>
          <w:sz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</w:rPr>
        <w:t xml:space="preserve">Подписи Сторон</w:t>
      </w:r>
      <w:r>
        <w:rPr>
          <w:rFonts w:ascii="Times New Roman" w:hAnsi="Times New Roman" w:eastAsia="Calibri" w:cs="Times New Roman"/>
          <w:b/>
          <w:bCs/>
          <w:iCs/>
          <w:sz w:val="24"/>
        </w:rPr>
      </w:r>
      <w:r>
        <w:rPr>
          <w:rFonts w:ascii="Times New Roman" w:hAnsi="Times New Roman" w:eastAsia="Calibri" w:cs="Times New Roman"/>
          <w:b/>
          <w:bCs/>
          <w:iCs/>
          <w:sz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1133" w:bottom="1134" w:left="1134" w:header="708" w:footer="195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Wingdings">
    <w:panose1 w:val="0501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95978823"/>
      <w:docPartObj>
        <w:docPartGallery w:val="Page Numbers (Bottom of Page)"/>
        <w:docPartUnique w:val="true"/>
      </w:docPartObj>
      <w:rPr/>
    </w:sdtPr>
    <w:sdtContent>
      <w:p>
        <w:pPr>
          <w:pStyle w:val="10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102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785105"/>
      <w:docPartObj>
        <w:docPartGallery w:val="Page Numbers (Bottom of Page)"/>
        <w:docPartUnique w:val="true"/>
      </w:docPartObj>
      <w:rPr/>
    </w:sdtPr>
    <w:sdtContent>
      <w:p>
        <w:pPr>
          <w:pStyle w:val="10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0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0"/>
        <w:jc w:val="both"/>
        <w:rPr>
          <w:rFonts w:ascii="Times New Roman" w:hAnsi="Times New Roman" w:eastAsia="Calibri" w:cs="Times New Roman"/>
        </w:rPr>
      </w:pPr>
      <w:r>
        <w:rPr>
          <w:rStyle w:val="1042"/>
        </w:rPr>
        <w:footnoteRef/>
      </w:r>
      <w:r>
        <w:rPr>
          <w:rFonts w:ascii="Times New Roman" w:hAnsi="Times New Roman" w:eastAsia="Calibri" w:cs="Times New Roman"/>
        </w:rPr>
        <w:t xml:space="preserve"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</w:footnote>
  <w:footnote w:id="3">
    <w:p>
      <w:pPr>
        <w:pStyle w:val="1029"/>
        <w:rPr>
          <w:rFonts w:ascii="Times New Roman" w:hAnsi="Times New Roman"/>
        </w:rPr>
      </w:pPr>
      <w:r>
        <w:rPr>
          <w:rStyle w:val="1042"/>
        </w:rPr>
        <w:footnoteRef/>
      </w:r>
      <w:r>
        <w:rPr>
          <w:rFonts w:ascii="Times New Roman" w:hAnsi="Times New Roman"/>
        </w:rPr>
        <w:t xml:space="preserve"> Номер (при наличии), дата и заголовок (при наличии).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1029"/>
        <w:jc w:val="both"/>
        <w:rPr>
          <w:rFonts w:ascii="Times New Roman" w:hAnsi="Times New Roman"/>
        </w:rPr>
      </w:pPr>
      <w:r>
        <w:rPr>
          <w:rStyle w:val="1042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r>
        <w:rPr>
          <w:rFonts w:ascii="Times New Roman" w:hAnsi="Times New Roman"/>
          <w:lang w:val="en-US"/>
        </w:rPr>
        <w:t xml:space="preserve">sms</w:t>
      </w:r>
      <w:r>
        <w:rPr>
          <w:rFonts w:ascii="Times New Roman" w:hAnsi="Times New Roman"/>
        </w:rPr>
        <w:t xml:space="preserve"> и мессенджеров, аудио- и видеозаписи и т.п.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 w:val="false"/>
      <w:suff w:val="tab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3.2.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none"/>
      <w:pStyle w:val="1070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1071"/>
      <w:isLgl w:val="false"/>
      <w:suff w:val="tab"/>
      <w:lvlText w:val="%1%2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pStyle w:val="1072"/>
      <w:isLgl w:val="false"/>
      <w:suff w:val="tab"/>
      <w:lvlText w:val="%2.%1%3."/>
      <w:lvlJc w:val="left"/>
      <w:pPr>
        <w:ind w:left="-169" w:firstLine="709"/>
        <w:tabs>
          <w:tab w:val="num" w:pos="1260" w:leader="none"/>
        </w:tabs>
      </w:pPr>
      <w:rPr>
        <w:rFonts w:hint="default"/>
      </w:rPr>
    </w:lvl>
    <w:lvl w:ilvl="3">
      <w:start w:val="1"/>
      <w:numFmt w:val="decimal"/>
      <w:pStyle w:val="1073"/>
      <w:isLgl w:val="false"/>
      <w:suff w:val="tab"/>
      <w:lvlText w:val="%2.%3.%4%1."/>
      <w:lvlJc w:val="left"/>
      <w:pPr>
        <w:ind w:left="0" w:firstLine="709"/>
        <w:tabs>
          <w:tab w:val="num" w:pos="1789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1.%2."/>
      <w:lvlJc w:val="left"/>
      <w:pPr>
        <w:ind w:left="1969" w:hanging="1260"/>
        <w:tabs>
          <w:tab w:val="num" w:pos="196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1.%3."/>
      <w:lvlJc w:val="left"/>
      <w:pPr>
        <w:ind w:left="2678" w:hanging="1260"/>
        <w:tabs>
          <w:tab w:val="num" w:pos="267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87" w:hanging="1260"/>
        <w:tabs>
          <w:tab w:val="num" w:pos="338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6" w:hanging="1260"/>
        <w:tabs>
          <w:tab w:val="num" w:pos="409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5" w:hanging="1260"/>
        <w:tabs>
          <w:tab w:val="num" w:pos="48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675" w:hanging="54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0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7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4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2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9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6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3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081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3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2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4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4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35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5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45"/>
  </w:num>
  <w:num w:numId="3">
    <w:abstractNumId w:val="24"/>
  </w:num>
  <w:num w:numId="4">
    <w:abstractNumId w:val="3"/>
  </w:num>
  <w:num w:numId="5">
    <w:abstractNumId w:val="13"/>
  </w:num>
  <w:num w:numId="6">
    <w:abstractNumId w:val="32"/>
  </w:num>
  <w:num w:numId="7">
    <w:abstractNumId w:val="7"/>
  </w:num>
  <w:num w:numId="8">
    <w:abstractNumId w:val="44"/>
  </w:num>
  <w:num w:numId="9">
    <w:abstractNumId w:val="30"/>
  </w:num>
  <w:num w:numId="10">
    <w:abstractNumId w:val="8"/>
  </w:num>
  <w:num w:numId="11">
    <w:abstractNumId w:val="36"/>
  </w:num>
  <w:num w:numId="12">
    <w:abstractNumId w:val="11"/>
  </w:num>
  <w:num w:numId="13">
    <w:abstractNumId w:val="48"/>
  </w:num>
  <w:num w:numId="14">
    <w:abstractNumId w:val="33"/>
  </w:num>
  <w:num w:numId="15">
    <w:abstractNumId w:val="41"/>
  </w:num>
  <w:num w:numId="16">
    <w:abstractNumId w:val="43"/>
  </w:num>
  <w:num w:numId="17">
    <w:abstractNumId w:val="35"/>
  </w:num>
  <w:num w:numId="18">
    <w:abstractNumId w:val="1"/>
  </w:num>
  <w:num w:numId="19">
    <w:abstractNumId w:val="22"/>
  </w:num>
  <w:num w:numId="20">
    <w:abstractNumId w:val="49"/>
  </w:num>
  <w:num w:numId="21">
    <w:abstractNumId w:val="40"/>
  </w:num>
  <w:num w:numId="22">
    <w:abstractNumId w:val="0"/>
  </w:num>
  <w:num w:numId="23">
    <w:abstractNumId w:val="2"/>
  </w:num>
  <w:num w:numId="24">
    <w:abstractNumId w:val="12"/>
  </w:num>
  <w:num w:numId="25">
    <w:abstractNumId w:val="34"/>
  </w:num>
  <w:num w:numId="26">
    <w:abstractNumId w:val="5"/>
  </w:num>
  <w:num w:numId="27">
    <w:abstractNumId w:val="9"/>
  </w:num>
  <w:num w:numId="28">
    <w:abstractNumId w:val="38"/>
  </w:num>
  <w:num w:numId="29">
    <w:abstractNumId w:val="47"/>
  </w:num>
  <w:num w:numId="30">
    <w:abstractNumId w:val="14"/>
  </w:num>
  <w:num w:numId="31">
    <w:abstractNumId w:val="10"/>
  </w:num>
  <w:num w:numId="32">
    <w:abstractNumId w:val="16"/>
  </w:num>
  <w:num w:numId="33">
    <w:abstractNumId w:val="20"/>
  </w:num>
  <w:num w:numId="34">
    <w:abstractNumId w:val="42"/>
  </w:num>
  <w:num w:numId="35">
    <w:abstractNumId w:val="31"/>
  </w:num>
  <w:num w:numId="36">
    <w:abstractNumId w:val="15"/>
  </w:num>
  <w:num w:numId="37">
    <w:abstractNumId w:val="17"/>
  </w:num>
  <w:num w:numId="38">
    <w:abstractNumId w:val="28"/>
  </w:num>
  <w:num w:numId="39">
    <w:abstractNumId w:val="46"/>
  </w:num>
  <w:num w:numId="40">
    <w:abstractNumId w:val="37"/>
  </w:num>
  <w:num w:numId="41">
    <w:abstractNumId w:val="26"/>
  </w:num>
  <w:num w:numId="42">
    <w:abstractNumId w:val="27"/>
  </w:num>
  <w:num w:numId="43">
    <w:abstractNumId w:val="18"/>
  </w:num>
  <w:num w:numId="44">
    <w:abstractNumId w:val="4"/>
  </w:num>
  <w:num w:numId="45">
    <w:abstractNumId w:val="3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3"/>
  </w:num>
  <w:num w:numId="49">
    <w:abstractNumId w:val="6"/>
  </w:num>
  <w:num w:numId="50">
    <w:abstractNumId w:val="2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comment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6">
    <w:name w:val="Heading 1 Char"/>
    <w:basedOn w:val="1016"/>
    <w:link w:val="101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847">
    <w:name w:val="Heading 2"/>
    <w:basedOn w:val="1012"/>
    <w:next w:val="1012"/>
    <w:link w:val="84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848">
    <w:name w:val="Heading 2 Char"/>
    <w:basedOn w:val="1016"/>
    <w:link w:val="847"/>
    <w:uiPriority w:val="9"/>
    <w:rPr>
      <w:rFonts w:ascii="Liberation Sans" w:hAnsi="Liberation Sans" w:eastAsia="Liberation Sans" w:cs="Liberation Sans"/>
      <w:sz w:val="34"/>
    </w:rPr>
  </w:style>
  <w:style w:type="paragraph" w:styleId="849">
    <w:name w:val="Heading 3"/>
    <w:basedOn w:val="1012"/>
    <w:next w:val="1012"/>
    <w:link w:val="85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850">
    <w:name w:val="Heading 3 Char"/>
    <w:basedOn w:val="1016"/>
    <w:link w:val="84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851">
    <w:name w:val="Heading 4"/>
    <w:basedOn w:val="1012"/>
    <w:next w:val="1012"/>
    <w:link w:val="85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52">
    <w:name w:val="Heading 4 Char"/>
    <w:basedOn w:val="1016"/>
    <w:link w:val="85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53">
    <w:name w:val="Heading 5 Char"/>
    <w:basedOn w:val="1016"/>
    <w:link w:val="101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54">
    <w:name w:val="Heading 6 Char"/>
    <w:basedOn w:val="1016"/>
    <w:link w:val="101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55">
    <w:name w:val="Heading 7"/>
    <w:basedOn w:val="1012"/>
    <w:next w:val="1012"/>
    <w:link w:val="85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56">
    <w:name w:val="Heading 7 Char"/>
    <w:basedOn w:val="1016"/>
    <w:link w:val="85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57">
    <w:name w:val="Heading 8"/>
    <w:basedOn w:val="1012"/>
    <w:next w:val="1012"/>
    <w:link w:val="85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58">
    <w:name w:val="Heading 8 Char"/>
    <w:basedOn w:val="1016"/>
    <w:link w:val="85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859">
    <w:name w:val="Heading 9"/>
    <w:basedOn w:val="1012"/>
    <w:next w:val="1012"/>
    <w:link w:val="86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60">
    <w:name w:val="Heading 9 Char"/>
    <w:basedOn w:val="1016"/>
    <w:link w:val="85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61">
    <w:name w:val="No Spacing"/>
    <w:uiPriority w:val="1"/>
    <w:qFormat/>
    <w:pPr>
      <w:spacing w:before="0" w:after="0" w:line="240" w:lineRule="auto"/>
    </w:pPr>
  </w:style>
  <w:style w:type="paragraph" w:styleId="862">
    <w:name w:val="Title"/>
    <w:basedOn w:val="1012"/>
    <w:next w:val="1012"/>
    <w:link w:val="8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3">
    <w:name w:val="Title Char"/>
    <w:basedOn w:val="1016"/>
    <w:link w:val="862"/>
    <w:uiPriority w:val="10"/>
    <w:rPr>
      <w:sz w:val="48"/>
      <w:szCs w:val="48"/>
    </w:rPr>
  </w:style>
  <w:style w:type="paragraph" w:styleId="864">
    <w:name w:val="Subtitle"/>
    <w:basedOn w:val="1012"/>
    <w:next w:val="1012"/>
    <w:link w:val="865"/>
    <w:uiPriority w:val="11"/>
    <w:qFormat/>
    <w:pPr>
      <w:spacing w:before="200" w:after="200"/>
    </w:pPr>
    <w:rPr>
      <w:sz w:val="24"/>
      <w:szCs w:val="24"/>
    </w:rPr>
  </w:style>
  <w:style w:type="character" w:styleId="865">
    <w:name w:val="Subtitle Char"/>
    <w:basedOn w:val="1016"/>
    <w:link w:val="864"/>
    <w:uiPriority w:val="11"/>
    <w:rPr>
      <w:sz w:val="24"/>
      <w:szCs w:val="24"/>
    </w:rPr>
  </w:style>
  <w:style w:type="paragraph" w:styleId="866">
    <w:name w:val="Quote"/>
    <w:basedOn w:val="1012"/>
    <w:next w:val="1012"/>
    <w:link w:val="867"/>
    <w:uiPriority w:val="29"/>
    <w:qFormat/>
    <w:pPr>
      <w:ind w:left="720" w:right="720"/>
    </w:pPr>
    <w:rPr>
      <w:i/>
    </w:rPr>
  </w:style>
  <w:style w:type="character" w:styleId="867">
    <w:name w:val="Quote Char"/>
    <w:link w:val="866"/>
    <w:uiPriority w:val="29"/>
    <w:rPr>
      <w:i/>
    </w:rPr>
  </w:style>
  <w:style w:type="paragraph" w:styleId="868">
    <w:name w:val="Intense Quote"/>
    <w:basedOn w:val="1012"/>
    <w:next w:val="1012"/>
    <w:link w:val="8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9">
    <w:name w:val="Intense Quote Char"/>
    <w:link w:val="868"/>
    <w:uiPriority w:val="30"/>
    <w:rPr>
      <w:i/>
    </w:rPr>
  </w:style>
  <w:style w:type="character" w:styleId="870">
    <w:name w:val="Header Char"/>
    <w:basedOn w:val="1016"/>
    <w:link w:val="1023"/>
    <w:uiPriority w:val="99"/>
  </w:style>
  <w:style w:type="character" w:styleId="871">
    <w:name w:val="Footer Char"/>
    <w:basedOn w:val="1016"/>
    <w:link w:val="1025"/>
    <w:uiPriority w:val="99"/>
  </w:style>
  <w:style w:type="paragraph" w:styleId="872">
    <w:name w:val="Caption"/>
    <w:basedOn w:val="1012"/>
    <w:next w:val="1012"/>
    <w:link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3">
    <w:name w:val="Caption Char"/>
    <w:basedOn w:val="1016"/>
    <w:link w:val="872"/>
    <w:uiPriority w:val="35"/>
    <w:rPr>
      <w:b/>
      <w:bCs/>
      <w:color w:val="4f81bd" w:themeColor="accent1"/>
      <w:sz w:val="18"/>
      <w:szCs w:val="18"/>
    </w:rPr>
  </w:style>
  <w:style w:type="table" w:styleId="874">
    <w:name w:val="Table Grid Light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76">
    <w:name w:val="Plain Table 2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77">
    <w:name w:val="Plain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16">
    <w:name w:val="Grid Table 6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17">
    <w:name w:val="Grid Table 6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18">
    <w:name w:val="Grid Table 6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19">
    <w:name w:val="Grid Table 6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20">
    <w:name w:val="Grid Table 6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21">
    <w:name w:val="Grid Table 6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22">
    <w:name w:val="Grid Table 7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8">
    <w:name w:val="List Table 5 Dark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9">
    <w:name w:val="List Table 5 Dark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60">
    <w:name w:val="List Table 5 Dark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61">
    <w:name w:val="List Table 5 Dark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62">
    <w:name w:val="List Table 5 Dark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63">
    <w:name w:val="List Table 5 Dark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64">
    <w:name w:val="List Table 6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72">
    <w:name w:val="List Table 7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973">
    <w:name w:val="List Table 7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974">
    <w:name w:val="List Table 7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975">
    <w:name w:val="List Table 7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976">
    <w:name w:val="List Table 7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977">
    <w:name w:val="List Table 7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978">
    <w:name w:val="Lined - Accent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80">
    <w:name w:val="Lined - Accent 2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1">
    <w:name w:val="Lined - Accent 3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2">
    <w:name w:val="Lined - Accent 4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3">
    <w:name w:val="Lined - Accent 5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84">
    <w:name w:val="Lined - Accent 6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5">
    <w:name w:val="Bordered &amp; Lined - Accent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87">
    <w:name w:val="Bordered &amp; Lined - Accent 2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8">
    <w:name w:val="Bordered &amp; Lined - Accent 3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9">
    <w:name w:val="Bordered &amp; Lined - Accent 4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0">
    <w:name w:val="Bordered &amp; Lined - Accent 5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91">
    <w:name w:val="Bordered &amp; Lined - Accent 6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92">
    <w:name w:val="Bordered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Footnote Text Char"/>
    <w:link w:val="1029"/>
    <w:uiPriority w:val="99"/>
    <w:rPr>
      <w:sz w:val="18"/>
    </w:rPr>
  </w:style>
  <w:style w:type="character" w:styleId="1000">
    <w:name w:val="Endnote Text Char"/>
    <w:link w:val="1046"/>
    <w:uiPriority w:val="99"/>
    <w:rPr>
      <w:sz w:val="20"/>
    </w:rPr>
  </w:style>
  <w:style w:type="paragraph" w:styleId="1001">
    <w:name w:val="toc 1"/>
    <w:basedOn w:val="1012"/>
    <w:next w:val="1012"/>
    <w:uiPriority w:val="39"/>
    <w:unhideWhenUsed/>
    <w:pPr>
      <w:ind w:left="0" w:right="0" w:firstLine="0"/>
      <w:spacing w:after="57"/>
    </w:pPr>
  </w:style>
  <w:style w:type="paragraph" w:styleId="1002">
    <w:name w:val="toc 2"/>
    <w:basedOn w:val="1012"/>
    <w:next w:val="1012"/>
    <w:uiPriority w:val="39"/>
    <w:unhideWhenUsed/>
    <w:pPr>
      <w:ind w:left="283" w:right="0" w:firstLine="0"/>
      <w:spacing w:after="57"/>
    </w:pPr>
  </w:style>
  <w:style w:type="paragraph" w:styleId="1003">
    <w:name w:val="toc 3"/>
    <w:basedOn w:val="1012"/>
    <w:next w:val="1012"/>
    <w:uiPriority w:val="39"/>
    <w:unhideWhenUsed/>
    <w:pPr>
      <w:ind w:left="567" w:right="0" w:firstLine="0"/>
      <w:spacing w:after="57"/>
    </w:pPr>
  </w:style>
  <w:style w:type="paragraph" w:styleId="1004">
    <w:name w:val="toc 4"/>
    <w:basedOn w:val="1012"/>
    <w:next w:val="1012"/>
    <w:uiPriority w:val="39"/>
    <w:unhideWhenUsed/>
    <w:pPr>
      <w:ind w:left="850" w:right="0" w:firstLine="0"/>
      <w:spacing w:after="57"/>
    </w:pPr>
  </w:style>
  <w:style w:type="paragraph" w:styleId="1005">
    <w:name w:val="toc 5"/>
    <w:basedOn w:val="1012"/>
    <w:next w:val="1012"/>
    <w:uiPriority w:val="39"/>
    <w:unhideWhenUsed/>
    <w:pPr>
      <w:ind w:left="1134" w:right="0" w:firstLine="0"/>
      <w:spacing w:after="57"/>
    </w:pPr>
  </w:style>
  <w:style w:type="paragraph" w:styleId="1006">
    <w:name w:val="toc 6"/>
    <w:basedOn w:val="1012"/>
    <w:next w:val="1012"/>
    <w:uiPriority w:val="39"/>
    <w:unhideWhenUsed/>
    <w:pPr>
      <w:ind w:left="1417" w:right="0" w:firstLine="0"/>
      <w:spacing w:after="57"/>
    </w:pPr>
  </w:style>
  <w:style w:type="paragraph" w:styleId="1007">
    <w:name w:val="toc 7"/>
    <w:basedOn w:val="1012"/>
    <w:next w:val="1012"/>
    <w:uiPriority w:val="39"/>
    <w:unhideWhenUsed/>
    <w:pPr>
      <w:ind w:left="1701" w:right="0" w:firstLine="0"/>
      <w:spacing w:after="57"/>
    </w:pPr>
  </w:style>
  <w:style w:type="paragraph" w:styleId="1008">
    <w:name w:val="toc 8"/>
    <w:basedOn w:val="1012"/>
    <w:next w:val="1012"/>
    <w:uiPriority w:val="39"/>
    <w:unhideWhenUsed/>
    <w:pPr>
      <w:ind w:left="1984" w:right="0" w:firstLine="0"/>
      <w:spacing w:after="57"/>
    </w:pPr>
  </w:style>
  <w:style w:type="paragraph" w:styleId="1009">
    <w:name w:val="toc 9"/>
    <w:basedOn w:val="1012"/>
    <w:next w:val="1012"/>
    <w:uiPriority w:val="39"/>
    <w:unhideWhenUsed/>
    <w:pPr>
      <w:ind w:left="2268" w:right="0" w:firstLine="0"/>
      <w:spacing w:after="57"/>
    </w:pPr>
  </w:style>
  <w:style w:type="paragraph" w:styleId="1010">
    <w:name w:val="TOC Heading"/>
    <w:uiPriority w:val="39"/>
    <w:unhideWhenUsed/>
  </w:style>
  <w:style w:type="paragraph" w:styleId="1011">
    <w:name w:val="table of figures"/>
    <w:basedOn w:val="1012"/>
    <w:next w:val="1012"/>
    <w:uiPriority w:val="99"/>
    <w:unhideWhenUsed/>
    <w:pPr>
      <w:spacing w:after="0" w:afterAutospacing="0"/>
    </w:pPr>
  </w:style>
  <w:style w:type="paragraph" w:styleId="1012" w:default="1">
    <w:name w:val="Normal"/>
    <w:qFormat/>
  </w:style>
  <w:style w:type="paragraph" w:styleId="1013">
    <w:name w:val="Heading 1"/>
    <w:basedOn w:val="1012"/>
    <w:next w:val="1012"/>
    <w:link w:val="1019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1014">
    <w:name w:val="Heading 5"/>
    <w:basedOn w:val="1012"/>
    <w:next w:val="1012"/>
    <w:link w:val="1020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paragraph" w:styleId="1015">
    <w:name w:val="Heading 6"/>
    <w:basedOn w:val="1012"/>
    <w:next w:val="1012"/>
    <w:link w:val="1021"/>
    <w:uiPriority w:val="99"/>
    <w:semiHidden/>
    <w:unhideWhenUsed/>
    <w:qFormat/>
    <w:pPr>
      <w:ind w:left="709" w:hanging="142"/>
      <w:jc w:val="both"/>
      <w:keepNext/>
      <w:spacing w:after="0" w:line="240" w:lineRule="auto"/>
      <w:widowControl w:val="off"/>
      <w:tabs>
        <w:tab w:val="left" w:pos="680" w:leader="none"/>
      </w:tabs>
      <w:outlineLvl w:val="5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1016" w:default="1">
    <w:name w:val="Default Paragraph Font"/>
    <w:uiPriority w:val="1"/>
    <w:semiHidden/>
    <w:unhideWhenUsed/>
  </w:style>
  <w:style w:type="table" w:styleId="10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8" w:default="1">
    <w:name w:val="No List"/>
    <w:uiPriority w:val="99"/>
    <w:semiHidden/>
    <w:unhideWhenUsed/>
  </w:style>
  <w:style w:type="character" w:styleId="1019" w:customStyle="1">
    <w:name w:val="Заголовок 1 Знак"/>
    <w:basedOn w:val="1016"/>
    <w:link w:val="1013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20" w:customStyle="1">
    <w:name w:val="Заголовок 5 Знак"/>
    <w:basedOn w:val="1016"/>
    <w:link w:val="1014"/>
    <w:uiPriority w:val="9"/>
    <w:semiHidden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1021" w:customStyle="1">
    <w:name w:val="Заголовок 6 Знак"/>
    <w:basedOn w:val="1016"/>
    <w:link w:val="1015"/>
    <w:uiPriority w:val="99"/>
    <w:semiHidden/>
    <w:rPr>
      <w:rFonts w:ascii="Times New Roman" w:hAnsi="Times New Roman" w:eastAsia="Times New Roman" w:cs="Times New Roman"/>
      <w:b/>
      <w:sz w:val="24"/>
      <w:szCs w:val="20"/>
    </w:rPr>
  </w:style>
  <w:style w:type="numbering" w:styleId="1022" w:customStyle="1">
    <w:name w:val="Нет списка1"/>
    <w:next w:val="1018"/>
    <w:uiPriority w:val="99"/>
    <w:semiHidden/>
    <w:unhideWhenUsed/>
  </w:style>
  <w:style w:type="paragraph" w:styleId="1023">
    <w:name w:val="Header"/>
    <w:basedOn w:val="1012"/>
    <w:link w:val="10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24" w:customStyle="1">
    <w:name w:val="Верхний колонтитул Знак"/>
    <w:basedOn w:val="1016"/>
    <w:link w:val="1023"/>
    <w:uiPriority w:val="99"/>
  </w:style>
  <w:style w:type="paragraph" w:styleId="1025">
    <w:name w:val="Footer"/>
    <w:basedOn w:val="1012"/>
    <w:link w:val="10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26" w:customStyle="1">
    <w:name w:val="Нижний колонтитул Знак"/>
    <w:basedOn w:val="1016"/>
    <w:link w:val="1025"/>
    <w:uiPriority w:val="99"/>
  </w:style>
  <w:style w:type="paragraph" w:styleId="1027" w:customStyle="1">
    <w:name w:val="Заголовок 51"/>
    <w:basedOn w:val="1012"/>
    <w:next w:val="1012"/>
    <w:uiPriority w:val="9"/>
    <w:semiHidden/>
    <w:unhideWhenUsed/>
    <w:qFormat/>
    <w:pPr>
      <w:keepLines/>
      <w:keepNext/>
      <w:spacing w:before="200" w:after="0" w:line="240" w:lineRule="auto"/>
      <w:widowControl w:val="off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numbering" w:styleId="1028" w:customStyle="1">
    <w:name w:val="Нет списка11"/>
    <w:next w:val="1018"/>
    <w:uiPriority w:val="99"/>
    <w:semiHidden/>
    <w:unhideWhenUsed/>
  </w:style>
  <w:style w:type="paragraph" w:styleId="1029">
    <w:name w:val="footnote text"/>
    <w:basedOn w:val="1012"/>
    <w:link w:val="1030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1030" w:customStyle="1">
    <w:name w:val="Текст сноски Знак"/>
    <w:basedOn w:val="1016"/>
    <w:link w:val="1029"/>
    <w:uiPriority w:val="99"/>
    <w:rPr>
      <w:rFonts w:ascii="Calibri" w:hAnsi="Calibri" w:eastAsia="Times New Roman" w:cs="Times New Roman"/>
      <w:sz w:val="20"/>
      <w:szCs w:val="20"/>
    </w:rPr>
  </w:style>
  <w:style w:type="paragraph" w:styleId="1031">
    <w:name w:val="annotation text"/>
    <w:basedOn w:val="1012"/>
    <w:link w:val="1032"/>
    <w:uiPriority w:val="99"/>
    <w:unhideWhenUsed/>
    <w:pPr>
      <w:spacing w:after="200" w:line="240" w:lineRule="auto"/>
    </w:pPr>
    <w:rPr>
      <w:sz w:val="20"/>
      <w:szCs w:val="20"/>
    </w:rPr>
  </w:style>
  <w:style w:type="character" w:styleId="1032" w:customStyle="1">
    <w:name w:val="Текст примечания Знак"/>
    <w:basedOn w:val="1016"/>
    <w:link w:val="1031"/>
    <w:uiPriority w:val="99"/>
    <w:rPr>
      <w:sz w:val="20"/>
      <w:szCs w:val="20"/>
    </w:rPr>
  </w:style>
  <w:style w:type="paragraph" w:styleId="1033">
    <w:name w:val="Body Text"/>
    <w:basedOn w:val="1012"/>
    <w:link w:val="1034"/>
    <w:uiPriority w:val="99"/>
    <w:unhideWhenUsed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034" w:customStyle="1">
    <w:name w:val="Основной текст Знак"/>
    <w:basedOn w:val="1016"/>
    <w:link w:val="1033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035">
    <w:name w:val="Body Text Indent"/>
    <w:basedOn w:val="1012"/>
    <w:link w:val="1036"/>
    <w:uiPriority w:val="99"/>
    <w:unhideWhenUsed/>
    <w:pPr>
      <w:ind w:firstLine="72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036" w:customStyle="1">
    <w:name w:val="Основной текст с отступом Знак"/>
    <w:basedOn w:val="1016"/>
    <w:link w:val="1035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037">
    <w:name w:val="Plain Text"/>
    <w:basedOn w:val="1012"/>
    <w:link w:val="1038"/>
    <w:unhideWhenUsed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1038" w:customStyle="1">
    <w:name w:val="Текст Знак"/>
    <w:basedOn w:val="1016"/>
    <w:link w:val="1037"/>
    <w:rPr>
      <w:rFonts w:ascii="Courier New" w:hAnsi="Courier New" w:eastAsia="Times New Roman" w:cs="Times New Roman"/>
      <w:sz w:val="20"/>
      <w:szCs w:val="20"/>
    </w:rPr>
  </w:style>
  <w:style w:type="paragraph" w:styleId="1039">
    <w:name w:val="List Paragraph"/>
    <w:basedOn w:val="1012"/>
    <w:link w:val="1065"/>
    <w:uiPriority w:val="34"/>
    <w:qFormat/>
    <w:pPr>
      <w:contextualSpacing/>
      <w:ind w:left="720"/>
      <w:spacing w:after="200" w:line="276" w:lineRule="auto"/>
    </w:pPr>
  </w:style>
  <w:style w:type="paragraph" w:styleId="1040" w:customStyle="1">
    <w:name w:val="Обычный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1" w:customStyle="1">
    <w:name w:val="Style6"/>
    <w:basedOn w:val="1012"/>
    <w:uiPriority w:val="99"/>
    <w:pPr>
      <w:jc w:val="both"/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42">
    <w:name w:val="footnote reference"/>
    <w:uiPriority w:val="99"/>
    <w:unhideWhenUsed/>
    <w:rPr>
      <w:rFonts w:hint="default" w:ascii="Times New Roman" w:hAnsi="Times New Roman" w:cs="Times New Roman"/>
      <w:vertAlign w:val="superscript"/>
    </w:rPr>
  </w:style>
  <w:style w:type="character" w:styleId="1043" w:customStyle="1">
    <w:name w:val="Font Style36"/>
    <w:uiPriority w:val="99"/>
    <w:rPr>
      <w:rFonts w:hint="default" w:ascii="Times New Roman" w:hAnsi="Times New Roman" w:cs="Times New Roman"/>
      <w:sz w:val="20"/>
      <w:szCs w:val="20"/>
    </w:rPr>
  </w:style>
  <w:style w:type="paragraph" w:styleId="1044">
    <w:name w:val="Balloon Text"/>
    <w:basedOn w:val="1012"/>
    <w:link w:val="104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45" w:customStyle="1">
    <w:name w:val="Текст выноски Знак"/>
    <w:basedOn w:val="1016"/>
    <w:link w:val="1044"/>
    <w:uiPriority w:val="99"/>
    <w:semiHidden/>
    <w:rPr>
      <w:rFonts w:ascii="Tahoma" w:hAnsi="Tahoma" w:cs="Tahoma"/>
      <w:sz w:val="16"/>
      <w:szCs w:val="16"/>
    </w:rPr>
  </w:style>
  <w:style w:type="paragraph" w:styleId="1046">
    <w:name w:val="endnote text"/>
    <w:basedOn w:val="1012"/>
    <w:link w:val="1047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47" w:customStyle="1">
    <w:name w:val="Текст концевой сноски Знак"/>
    <w:basedOn w:val="1016"/>
    <w:link w:val="104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48">
    <w:name w:val="endnote reference"/>
    <w:basedOn w:val="1016"/>
    <w:uiPriority w:val="99"/>
    <w:semiHidden/>
    <w:unhideWhenUsed/>
    <w:rPr>
      <w:vertAlign w:val="superscript"/>
    </w:rPr>
  </w:style>
  <w:style w:type="paragraph" w:styleId="1049">
    <w:name w:val="Body Text Indent 2"/>
    <w:basedOn w:val="1012"/>
    <w:link w:val="1050"/>
    <w:uiPriority w:val="99"/>
    <w:semiHidden/>
    <w:unhideWhenUsed/>
    <w:pPr>
      <w:ind w:left="283"/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0" w:customStyle="1">
    <w:name w:val="Основной текст с отступом 2 Знак"/>
    <w:basedOn w:val="1016"/>
    <w:link w:val="104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51">
    <w:name w:val="Body Text 2"/>
    <w:basedOn w:val="1012"/>
    <w:link w:val="1052"/>
    <w:uiPriority w:val="99"/>
    <w:semiHidden/>
    <w:unhideWhenUsed/>
    <w:pPr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2" w:customStyle="1">
    <w:name w:val="Основной текст 2 Знак"/>
    <w:basedOn w:val="1016"/>
    <w:link w:val="105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3">
    <w:name w:val="annotation reference"/>
    <w:basedOn w:val="1016"/>
    <w:uiPriority w:val="99"/>
    <w:semiHidden/>
    <w:unhideWhenUsed/>
    <w:rPr>
      <w:sz w:val="16"/>
      <w:szCs w:val="16"/>
    </w:rPr>
  </w:style>
  <w:style w:type="paragraph" w:styleId="1054">
    <w:name w:val="annotation subject"/>
    <w:basedOn w:val="1031"/>
    <w:next w:val="1031"/>
    <w:link w:val="1055"/>
    <w:uiPriority w:val="99"/>
    <w:semiHidden/>
    <w:unhideWhenUsed/>
    <w:rPr>
      <w:b/>
      <w:bCs/>
      <w:lang w:eastAsia="ru-RU"/>
    </w:rPr>
  </w:style>
  <w:style w:type="character" w:styleId="1055" w:customStyle="1">
    <w:name w:val="Тема примечания Знак"/>
    <w:basedOn w:val="1032"/>
    <w:link w:val="1054"/>
    <w:uiPriority w:val="99"/>
    <w:semiHidden/>
    <w:rPr>
      <w:b/>
      <w:bCs/>
      <w:sz w:val="20"/>
      <w:szCs w:val="20"/>
      <w:lang w:eastAsia="ru-RU"/>
    </w:rPr>
  </w:style>
  <w:style w:type="paragraph" w:styleId="1056">
    <w:name w:val="Revision"/>
    <w:hidden/>
    <w:uiPriority w:val="99"/>
    <w:semiHidden/>
    <w:pPr>
      <w:spacing w:after="0" w:line="240" w:lineRule="auto"/>
    </w:pPr>
  </w:style>
  <w:style w:type="paragraph" w:styleId="1057" w:customStyle="1">
    <w:name w:val="Абзац списка1"/>
    <w:basedOn w:val="1012"/>
    <w:pPr>
      <w:contextualSpacing/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058" w:customStyle="1">
    <w:name w:val="blk3"/>
    <w:basedOn w:val="1016"/>
    <w:rPr>
      <w:vanish w:val="0"/>
    </w:rPr>
  </w:style>
  <w:style w:type="character" w:styleId="1059">
    <w:name w:val="Hyperlink"/>
    <w:uiPriority w:val="99"/>
    <w:unhideWhenUsed/>
    <w:rPr>
      <w:color w:val="0000ff"/>
      <w:u w:val="single"/>
    </w:rPr>
  </w:style>
  <w:style w:type="paragraph" w:styleId="1060">
    <w:name w:val="HTML Preformatted"/>
    <w:basedOn w:val="1012"/>
    <w:link w:val="1061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61" w:customStyle="1">
    <w:name w:val="Стандартный HTML Знак"/>
    <w:basedOn w:val="1016"/>
    <w:link w:val="1060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62" w:customStyle="1">
    <w:name w:val="Нумерованный список уровень 1"/>
    <w:basedOn w:val="1039"/>
    <w:link w:val="1064"/>
    <w:qFormat/>
    <w:pPr>
      <w:ind w:left="432" w:hanging="432"/>
      <w:jc w:val="both"/>
      <w:spacing w:before="80" w:after="80"/>
      <w:tabs>
        <w:tab w:val="num" w:pos="432" w:leader="none"/>
      </w:tabs>
    </w:pPr>
    <w:rPr>
      <w:sz w:val="24"/>
      <w:szCs w:val="24"/>
    </w:rPr>
  </w:style>
  <w:style w:type="paragraph" w:styleId="1063" w:customStyle="1">
    <w:name w:val="Нумерованный список уровень 2"/>
    <w:basedOn w:val="1039"/>
    <w:qFormat/>
    <w:pPr>
      <w:ind w:left="1224" w:hanging="504"/>
      <w:jc w:val="both"/>
      <w:spacing w:before="120" w:after="80"/>
      <w:tabs>
        <w:tab w:val="left" w:pos="0" w:leader="none"/>
        <w:tab w:val="left" w:pos="851" w:leader="none"/>
        <w:tab w:val="num" w:pos="1440" w:leader="none"/>
      </w:tabs>
    </w:pPr>
    <w:rPr>
      <w:bCs/>
      <w:sz w:val="24"/>
      <w:szCs w:val="24"/>
    </w:rPr>
  </w:style>
  <w:style w:type="character" w:styleId="1064" w:customStyle="1">
    <w:name w:val="Нумерованный список уровень 1 Знак"/>
    <w:basedOn w:val="1016"/>
    <w:link w:val="1062"/>
    <w:rPr>
      <w:sz w:val="24"/>
      <w:szCs w:val="24"/>
    </w:rPr>
  </w:style>
  <w:style w:type="character" w:styleId="1065" w:customStyle="1">
    <w:name w:val="Абзац списка Знак"/>
    <w:link w:val="1039"/>
    <w:uiPriority w:val="34"/>
  </w:style>
  <w:style w:type="character" w:styleId="1066" w:customStyle="1">
    <w:name w:val="Font Style16"/>
    <w:rPr>
      <w:rFonts w:hint="default" w:ascii="Times New Roman" w:hAnsi="Times New Roman" w:cs="Times New Roman"/>
    </w:rPr>
  </w:style>
  <w:style w:type="paragraph" w:styleId="1067" w:customStyle="1">
    <w:name w:val="Îáû÷íûé"/>
    <w:basedOn w:val="1012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table" w:styleId="1068">
    <w:name w:val="Table Grid"/>
    <w:basedOn w:val="1017"/>
    <w:uiPriority w:val="5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9">
    <w:name w:val="Block Text"/>
    <w:basedOn w:val="1012"/>
    <w:pPr>
      <w:ind w:left="-142" w:right="-2"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70" w:customStyle="1">
    <w:name w:val="Название документа"/>
    <w:basedOn w:val="1012"/>
    <w:pPr>
      <w:numPr>
        <w:ilvl w:val="0"/>
        <w:numId w:val="5"/>
      </w:numPr>
      <w:jc w:val="center"/>
      <w:spacing w:before="60" w:after="400" w:line="240" w:lineRule="auto"/>
      <w:tabs>
        <w:tab w:val="left" w:pos="0" w:leader="none"/>
      </w:tabs>
    </w:pPr>
    <w:rPr>
      <w:rFonts w:ascii="Times New Roman" w:hAnsi="Times New Roman" w:eastAsia="Times New Roman" w:cs="Times New Roman"/>
      <w:b/>
      <w:bCs/>
      <w:caps/>
      <w:sz w:val="24"/>
      <w:szCs w:val="20"/>
      <w:lang w:eastAsia="ru-RU"/>
    </w:rPr>
  </w:style>
  <w:style w:type="paragraph" w:styleId="1071" w:customStyle="1">
    <w:name w:val="Раздел"/>
    <w:basedOn w:val="1078"/>
    <w:pPr>
      <w:numPr>
        <w:ilvl w:val="1"/>
        <w:numId w:val="5"/>
      </w:numPr>
      <w:contextualSpacing w:val="0"/>
      <w:ind w:left="283" w:hanging="283"/>
      <w:jc w:val="center"/>
      <w:keepNext/>
      <w:spacing w:before="400" w:after="100" w:line="240" w:lineRule="auto"/>
      <w:tabs>
        <w:tab w:val="num" w:pos="360" w:leader="none"/>
        <w:tab w:val="left" w:pos="567" w:leader="none"/>
        <w:tab w:val="clear" w:pos="720" w:leader="none"/>
        <w:tab w:val="num" w:pos="1969" w:leader="none"/>
      </w:tabs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1072" w:customStyle="1">
    <w:name w:val="Статья 1"/>
    <w:basedOn w:val="1012"/>
    <w:pPr>
      <w:numPr>
        <w:ilvl w:val="2"/>
        <w:numId w:val="5"/>
      </w:numPr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73" w:customStyle="1">
    <w:name w:val="Статья 2"/>
    <w:basedOn w:val="1012"/>
    <w:pPr>
      <w:numPr>
        <w:ilvl w:val="3"/>
        <w:numId w:val="5"/>
      </w:numPr>
      <w:jc w:val="both"/>
      <w:spacing w:before="60" w:after="60" w:line="240" w:lineRule="auto"/>
      <w:tabs>
        <w:tab w:val="left" w:pos="1418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74" w:customStyle="1">
    <w:name w:val="Список1"/>
    <w:basedOn w:val="1012"/>
    <w:next w:val="1078"/>
    <w:uiPriority w:val="99"/>
    <w:semiHidden/>
    <w:unhideWhenUsed/>
    <w:pPr>
      <w:contextualSpacing/>
      <w:ind w:left="283" w:hanging="283"/>
      <w:spacing w:after="200" w:line="276" w:lineRule="auto"/>
    </w:pPr>
  </w:style>
  <w:style w:type="table" w:styleId="1075" w:customStyle="1">
    <w:name w:val="Сетка таблицы1"/>
    <w:basedOn w:val="1017"/>
    <w:next w:val="10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6" w:customStyle="1">
    <w:name w:val="Сетка таблицы11"/>
    <w:basedOn w:val="1017"/>
    <w:next w:val="10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7" w:customStyle="1">
    <w:name w:val="Заголовок 5 Знак1"/>
    <w:basedOn w:val="1016"/>
    <w:uiPriority w:val="9"/>
    <w:semiHidden/>
    <w:rPr>
      <w:rFonts w:asciiTheme="majorHAnsi" w:hAnsiTheme="majorHAnsi" w:eastAsiaTheme="majorEastAsia" w:cstheme="majorBidi"/>
      <w:color w:val="2f5496" w:themeColor="accent1" w:themeShade="BF"/>
    </w:rPr>
  </w:style>
  <w:style w:type="paragraph" w:styleId="1078">
    <w:name w:val="List"/>
    <w:basedOn w:val="1012"/>
    <w:uiPriority w:val="99"/>
    <w:semiHidden/>
    <w:unhideWhenUsed/>
    <w:pPr>
      <w:contextualSpacing/>
      <w:ind w:left="283" w:hanging="283"/>
      <w:spacing w:after="200" w:line="276" w:lineRule="auto"/>
    </w:pPr>
  </w:style>
  <w:style w:type="character" w:styleId="1079">
    <w:name w:val="Subtle Emphasis"/>
    <w:basedOn w:val="1016"/>
    <w:uiPriority w:val="19"/>
    <w:qFormat/>
    <w:rPr>
      <w:i/>
      <w:iCs/>
      <w:color w:val="404040" w:themeColor="text1" w:themeTint="BF"/>
    </w:rPr>
  </w:style>
  <w:style w:type="paragraph" w:styleId="1080" w:customStyle="1">
    <w:name w:val="Заголовок 11"/>
    <w:basedOn w:val="1012"/>
    <w:next w:val="1012"/>
    <w:uiPriority w:val="9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81" w:customStyle="1">
    <w:name w:val="Заголовок 1 Знак1"/>
    <w:basedOn w:val="1016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82" w:customStyle="1">
    <w:name w:val="Основной текст_"/>
    <w:link w:val="1083"/>
    <w:rPr>
      <w:rFonts w:ascii="Arial" w:hAnsi="Arial" w:eastAsia="Arial" w:cs="Arial"/>
      <w:sz w:val="18"/>
      <w:szCs w:val="18"/>
      <w:shd w:val="clear" w:color="auto" w:fill="ffffff"/>
    </w:rPr>
  </w:style>
  <w:style w:type="paragraph" w:styleId="1083" w:customStyle="1">
    <w:name w:val="Основной текст1"/>
    <w:basedOn w:val="1012"/>
    <w:link w:val="1082"/>
    <w:pPr>
      <w:ind w:firstLine="400"/>
      <w:spacing w:after="0" w:line="240" w:lineRule="auto"/>
      <w:shd w:val="clear" w:color="auto" w:fill="ffffff"/>
      <w:widowControl w:val="off"/>
    </w:pPr>
    <w:rPr>
      <w:rFonts w:ascii="Arial" w:hAnsi="Arial" w:eastAsia="Arial" w:cs="Arial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C56A-A655-4C76-8966-81D433BE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Р7-Офис/2025.3.2.1007</Application>
  <Company>ПАО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Мулюкова Гульнара Раисовна</dc:creator>
  <cp:keywords/>
  <dc:description/>
  <cp:lastModifiedBy>02703219@omega.sbrf.ru</cp:lastModifiedBy>
  <cp:revision>113</cp:revision>
  <dcterms:created xsi:type="dcterms:W3CDTF">2024-11-15T05:13:00Z</dcterms:created>
  <dcterms:modified xsi:type="dcterms:W3CDTF">2025-12-04T11:50:08Z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