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ermStart w:id="285416396" w:edGrp="everyone"/>
      <w:permEnd w:id="28541639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14874E59" w14:textId="0AE63E83"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ermEnd w:id="1112491791"/>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 xml:space="preserve">признается заключенным в момент подписания </w:t>
      </w:r>
      <w:bookmarkStart w:id="2" w:name="_GoBack"/>
      <w:bookmarkEnd w:id="2"/>
      <w:r w:rsidRPr="002A4297">
        <w:rPr>
          <w:rFonts w:ascii="Times New Roman" w:eastAsia="Times New Roman" w:hAnsi="Times New Roman" w:cs="Times New Roman"/>
          <w:sz w:val="24"/>
          <w:szCs w:val="24"/>
          <w:lang w:eastAsia="ru-RU"/>
        </w:rPr>
        <w:t>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5"/>
          <w:rFonts w:eastAsia="Times New Roman"/>
          <w:sz w:val="24"/>
          <w:szCs w:val="24"/>
          <w:lang w:eastAsia="ru-RU"/>
        </w:rPr>
        <w:footnoteReference w:id="36"/>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37"/>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38"/>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39"/>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4"/>
      <w:bookmarkEnd w:id="5"/>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14:paraId="2A7B725D" w14:textId="6658ABF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40"/>
      </w:r>
      <w:r w:rsidR="00B561B5">
        <w:rPr>
          <w:rFonts w:ascii="Times New Roman" w:eastAsia="Times New Roman" w:hAnsi="Times New Roman" w:cs="Times New Roman"/>
          <w:sz w:val="24"/>
          <w:szCs w:val="24"/>
          <w:lang w:eastAsia="ru-RU"/>
        </w:rPr>
        <w:t>,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w:t>
      </w:r>
      <w:bookmarkEnd w:id="7"/>
      <w:r w:rsidRPr="002A4297">
        <w:rPr>
          <w:rFonts w:ascii="Times New Roman" w:eastAsia="Times New Roman" w:hAnsi="Times New Roman" w:cs="Times New Roman"/>
          <w:sz w:val="24"/>
          <w:szCs w:val="24"/>
          <w:lang w:eastAsia="ru-RU"/>
        </w:rPr>
        <w:t xml:space="preserve"> в том числе:</w:t>
      </w:r>
      <w:bookmarkEnd w:id="8"/>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4"/>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5"/>
          <w:sz w:val="24"/>
        </w:rPr>
        <w:footnoteReference w:id="46"/>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58E12CF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w:t>
      </w:r>
      <w:r w:rsidR="00B561B5">
        <w:rPr>
          <w:rFonts w:ascii="Times New Roman" w:eastAsia="Times New Roman" w:hAnsi="Times New Roman" w:cs="Times New Roman"/>
          <w:sz w:val="24"/>
          <w:szCs w:val="24"/>
          <w:lang w:eastAsia="ru-RU"/>
        </w:rPr>
        <w:t>_____) ________,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14:paraId="3F1DCDD5" w14:textId="44B29235"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Оплата Имущества (оставшейся части в размере ________ (_______</w:t>
      </w:r>
      <w:r w:rsidR="00B561B5">
        <w:rPr>
          <w:rFonts w:ascii="Times New Roman" w:eastAsia="Times New Roman" w:hAnsi="Times New Roman" w:cs="Times New Roman"/>
          <w:sz w:val="24"/>
          <w:szCs w:val="24"/>
          <w:lang w:eastAsia="ru-RU"/>
        </w:rPr>
        <w:t>_____) ________, включая НДС (22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1783CE78"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w:t>
      </w:r>
      <w:r w:rsidR="00B561B5">
        <w:rPr>
          <w:rFonts w:ascii="Times New Roman" w:eastAsia="Times New Roman" w:hAnsi="Times New Roman" w:cs="Times New Roman"/>
          <w:sz w:val="24"/>
          <w:szCs w:val="24"/>
          <w:lang w:eastAsia="ru-RU"/>
        </w:rPr>
        <w:t xml:space="preserve"> ______________, включая НДС (22</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4"/>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55"/>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permStart w:id="1083515043" w:edGrp="everyone"/>
      <w:r>
        <w:rPr>
          <w:rStyle w:val="af5"/>
          <w:rFonts w:eastAsia="Times New Roman"/>
          <w:sz w:val="24"/>
          <w:szCs w:val="24"/>
          <w:lang w:eastAsia="ru-RU"/>
        </w:rPr>
        <w:footnoteReference w:id="56"/>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57"/>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58"/>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59"/>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60"/>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61"/>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62"/>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63"/>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64"/>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16"/>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5"/>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66"/>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67"/>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7"/>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permStart w:id="1788676412" w:edGrp="everyone"/>
      <w:r w:rsidRPr="0083595C">
        <w:rPr>
          <w:rFonts w:ascii="Times New Roman" w:eastAsia="Times New Roman" w:hAnsi="Times New Roman" w:cs="Times New Roman"/>
          <w:sz w:val="24"/>
          <w:szCs w:val="24"/>
          <w:vertAlign w:val="superscript"/>
          <w:lang w:eastAsia="ru-RU"/>
        </w:rPr>
        <w:footnoteReference w:id="68"/>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9"/>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18"/>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19"/>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20"/>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1"/>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2"/>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71"/>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4" w:name="_Ref1393199"/>
    </w:p>
    <w:bookmarkEnd w:id="24"/>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25"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73"/>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74"/>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75"/>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26" w:name="_Ref17968329"/>
    </w:p>
    <w:bookmarkEnd w:id="26"/>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78"/>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sidRPr="009041CA">
        <w:rPr>
          <w:rFonts w:ascii="Times New Roman" w:eastAsia="Times New Roman" w:hAnsi="Times New Roman" w:cs="Times New Roman"/>
          <w:b/>
          <w:sz w:val="24"/>
          <w:szCs w:val="24"/>
          <w:lang w:eastAsia="ru-RU"/>
        </w:rPr>
        <w:t>Реквизиты и подписи Сторон</w:t>
      </w:r>
      <w:bookmarkStart w:id="28" w:name="_Ref126658428"/>
      <w:bookmarkEnd w:id="27"/>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28"/>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79"/>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0"/>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1"/>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82"/>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83"/>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84"/>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85"/>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86"/>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87"/>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0"/>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91"/>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9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96"/>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97"/>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98"/>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02"/>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03"/>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04"/>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06"/>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1"/>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12"/>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13"/>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14"/>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15"/>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6"/>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17"/>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1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footnoteReference w:id="120"/>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21"/>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22"/>
            </w:r>
          </w:p>
        </w:tc>
        <w:tc>
          <w:tcPr>
            <w:tcW w:w="2301" w:type="dxa"/>
            <w:vAlign w:val="center"/>
          </w:tcPr>
          <w:p w14:paraId="3873B25C" w14:textId="2CFD004E" w:rsidR="002A4297" w:rsidRPr="002A4297" w:rsidRDefault="002A4297" w:rsidP="002A4297">
            <w:pPr>
              <w:jc w:val="center"/>
              <w:rPr>
                <w:bCs/>
                <w:sz w:val="24"/>
                <w:szCs w:val="24"/>
              </w:rPr>
            </w:pPr>
            <w:r w:rsidRPr="002A4297">
              <w:rPr>
                <w:bCs/>
                <w:sz w:val="24"/>
                <w:szCs w:val="24"/>
              </w:rPr>
              <w:t xml:space="preserve">Стоимость движимого имущества, руб. включая </w:t>
            </w:r>
            <w:r w:rsidR="00B561B5">
              <w:rPr>
                <w:bCs/>
                <w:sz w:val="24"/>
                <w:szCs w:val="24"/>
              </w:rPr>
              <w:t>НДС (22</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footnoteReference w:id="125"/>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26"/>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27"/>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28"/>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F4EF2" w14:textId="77777777" w:rsidR="006F45F1" w:rsidRDefault="006F45F1" w:rsidP="002A4297">
      <w:pPr>
        <w:spacing w:after="0" w:line="240" w:lineRule="auto"/>
      </w:pPr>
      <w:r>
        <w:separator/>
      </w:r>
    </w:p>
  </w:endnote>
  <w:endnote w:type="continuationSeparator" w:id="0">
    <w:p w14:paraId="26B6437E" w14:textId="77777777" w:rsidR="006F45F1" w:rsidRDefault="006F45F1" w:rsidP="002A4297">
      <w:pPr>
        <w:spacing w:after="0" w:line="240" w:lineRule="auto"/>
      </w:pPr>
      <w:r>
        <w:continuationSeparator/>
      </w:r>
    </w:p>
  </w:endnote>
  <w:endnote w:type="continuationNotice" w:id="1">
    <w:p w14:paraId="1C806866" w14:textId="77777777" w:rsidR="006F45F1" w:rsidRDefault="006F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247F571" w:rsidR="00617035" w:rsidRPr="002E0356" w:rsidRDefault="004B4214">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3</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C2C31" w14:textId="77777777" w:rsidR="006F45F1" w:rsidRDefault="006F45F1" w:rsidP="002A4297">
      <w:pPr>
        <w:spacing w:after="0" w:line="240" w:lineRule="auto"/>
      </w:pPr>
      <w:r>
        <w:separator/>
      </w:r>
    </w:p>
  </w:footnote>
  <w:footnote w:type="continuationSeparator" w:id="0">
    <w:p w14:paraId="2BE7A38F" w14:textId="77777777" w:rsidR="006F45F1" w:rsidRDefault="006F45F1" w:rsidP="002A4297">
      <w:pPr>
        <w:spacing w:after="0" w:line="240" w:lineRule="auto"/>
      </w:pPr>
      <w:r>
        <w:continuationSeparator/>
      </w:r>
    </w:p>
  </w:footnote>
  <w:footnote w:type="continuationNotice" w:id="1">
    <w:p w14:paraId="235C7FB7" w14:textId="77777777" w:rsidR="006F45F1" w:rsidRDefault="006F45F1">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6">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7">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8">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39">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0">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1">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42">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3">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44">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5">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6">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47">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8">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9">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0">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1">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52">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53">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4">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55">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6">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57">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58">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59">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60">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61">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62">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3">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65">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66">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7">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68">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69">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0">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1">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72">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3">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4">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5">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6">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77">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78">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79">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80">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81">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2">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3">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84">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5">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86">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87">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8">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9">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0">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1">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2">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3">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4">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5">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96">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97">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8">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99">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0">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1">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2">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03">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4">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05">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6">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07">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08">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09">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0">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11">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2">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13">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4">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15">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16">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17">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18">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19">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0">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1">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2">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3">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4">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26">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27">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28">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ocumentProtection w:edit="comments" w:enforcement="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214"/>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1B5"/>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A8F7-70BE-4863-B540-35CB552C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5471</Words>
  <Characters>42006</Characters>
  <Application>Microsoft Office Word</Application>
  <DocSecurity>0</DocSecurity>
  <Lines>350</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Кононова Екатерина Алексеевна</cp:lastModifiedBy>
  <cp:revision>5</cp:revision>
  <cp:lastPrinted>2023-09-20T12:30:00Z</cp:lastPrinted>
  <dcterms:created xsi:type="dcterms:W3CDTF">2023-09-21T12:07:00Z</dcterms:created>
  <dcterms:modified xsi:type="dcterms:W3CDTF">2026-02-27T05:20:00Z</dcterms:modified>
</cp:coreProperties>
</file>