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7C07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1B9AF7A1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333475B5" w14:textId="77777777" w:rsidTr="0056644E">
        <w:trPr>
          <w:jc w:val="center"/>
        </w:trPr>
        <w:tc>
          <w:tcPr>
            <w:tcW w:w="4678" w:type="dxa"/>
          </w:tcPr>
          <w:p w14:paraId="231AA239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4FCE2A2A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7E948288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22609D2F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6F7ADEA0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57BB9610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5278BA0E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7C86878B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500AE53E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4D095E34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7B6FD33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0C060AFF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5EE0866B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6691900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794F88F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7B45D0C1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40666D55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347D1B0A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3E831B36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46B7B285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1048723C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46531A13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D1C202B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lastRenderedPageBreak/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B0B0696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10870CD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2BDC26D1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37C9D833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5577DFD0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72D20CBF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7F3FE196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0BE2E67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B070973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4802470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1A6CF2D4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60AC637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5070ABC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D7A486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2737AAB3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1D9C595D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121D117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0032C890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3744EBBE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6A14B10A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36D8ACC4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3168B6C4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193855B2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13C54FF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2295917B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 xml:space="preserve">в порядке, предусмотренном законодательством </w:t>
      </w:r>
      <w:r w:rsidR="00413476" w:rsidRPr="00381917">
        <w:rPr>
          <w:sz w:val="22"/>
          <w:szCs w:val="22"/>
        </w:rPr>
        <w:lastRenderedPageBreak/>
        <w:t>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5EFAE32A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59E9A709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73B9E9DF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3E4DF58A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FD18DC4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установленного п. 2.3 Договора, Покупатель уплачивает Продавцу неустойку в размере ___</w:t>
      </w:r>
      <w:proofErr w:type="gramStart"/>
      <w:r w:rsidRPr="00381917">
        <w:rPr>
          <w:sz w:val="22"/>
          <w:szCs w:val="22"/>
        </w:rPr>
        <w:t>%  цены</w:t>
      </w:r>
      <w:proofErr w:type="gramEnd"/>
      <w:r w:rsidRPr="00381917">
        <w:rPr>
          <w:sz w:val="22"/>
          <w:szCs w:val="22"/>
        </w:rPr>
        <w:t xml:space="preserve">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353881DA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53DA6661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7C967D70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3457289A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0EBD599D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 xml:space="preserve">в Арбитражном </w:t>
      </w:r>
      <w:proofErr w:type="gramStart"/>
      <w:r w:rsidR="00413476" w:rsidRPr="00381917">
        <w:rPr>
          <w:sz w:val="22"/>
          <w:szCs w:val="22"/>
        </w:rPr>
        <w:t>суде  _</w:t>
      </w:r>
      <w:proofErr w:type="gramEnd"/>
      <w:r w:rsidR="00413476" w:rsidRPr="00381917">
        <w:rPr>
          <w:sz w:val="22"/>
          <w:szCs w:val="22"/>
        </w:rPr>
        <w:t>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1123A252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1F16E5CE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4C7AC449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1CC9040E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66AD5743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22F99ECD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D4DE2CE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1002EBDB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5B1EDD11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4A13AAF8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1886" w14:textId="77777777" w:rsidR="00CB5A61" w:rsidRDefault="00CB5A61">
      <w:r>
        <w:separator/>
      </w:r>
    </w:p>
  </w:endnote>
  <w:endnote w:type="continuationSeparator" w:id="0">
    <w:p w14:paraId="5B2E7275" w14:textId="77777777" w:rsidR="00CB5A61" w:rsidRDefault="00CB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1D4C" w14:textId="77777777" w:rsidR="000A6290" w:rsidRDefault="000A6290">
    <w:pPr>
      <w:pStyle w:val="a6"/>
    </w:pPr>
  </w:p>
  <w:p w14:paraId="07E49E71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C51B" w14:textId="77777777" w:rsidR="00CB5A61" w:rsidRDefault="00CB5A61">
      <w:r>
        <w:separator/>
      </w:r>
    </w:p>
  </w:footnote>
  <w:footnote w:type="continuationSeparator" w:id="0">
    <w:p w14:paraId="677DDBCD" w14:textId="77777777" w:rsidR="00CB5A61" w:rsidRDefault="00CB5A61">
      <w:r>
        <w:continuationSeparator/>
      </w:r>
    </w:p>
  </w:footnote>
  <w:footnote w:id="1">
    <w:p w14:paraId="4C48A792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B04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35868639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FAD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10346501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1F26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DE06FF"/>
  <w15:chartTrackingRefBased/>
  <w15:docId w15:val="{D4A921D7-251A-4802-81E8-5FA5A62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2017-10-27T08:13:00Z</cp:lastPrinted>
  <dcterms:created xsi:type="dcterms:W3CDTF">2026-01-15T13:49:00Z</dcterms:created>
  <dcterms:modified xsi:type="dcterms:W3CDTF">2026-01-15T13:49:00Z</dcterms:modified>
</cp:coreProperties>
</file>