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tbl>
      <w:tblPr>
        <w:tblStyle w:val="TableStyle0"/>
        <w:tblW w:w="10395" w:type="dxa"/>
        <w:jc w:val="left"/>
        <w:tblInd w:w="0" w:type="dxa"/>
        <w:tblLayout w:type="fixed"/>
        <w:tblCellMar>
          <w:top w:w="0" w:type="dxa"/>
          <w:left w:w="0" w:type="dxa"/>
          <w:bottom w:w="0" w:type="dxa"/>
          <w:right w:w="0" w:type="dxa"/>
        </w:tblCellMar>
        <w:tblLook w:val="04a0"/>
      </w:tblPr>
      <w:tblGrid>
        <w:gridCol w:w="944"/>
        <w:gridCol w:w="945"/>
        <w:gridCol w:w="945"/>
        <w:gridCol w:w="945"/>
        <w:gridCol w:w="945"/>
        <w:gridCol w:w="949"/>
        <w:gridCol w:w="948"/>
        <w:gridCol w:w="945"/>
        <w:gridCol w:w="946"/>
        <w:gridCol w:w="947"/>
        <w:gridCol w:w="934"/>
      </w:tblGrid>
      <w:tr>
        <w:trPr>
          <w:trHeight w:val="315" w:hRule="exact"/>
        </w:trPr>
        <w:tc>
          <w:tcPr>
            <w:tcW w:w="10393"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sz w:val="20"/>
                <w:szCs w:val="20"/>
              </w:rPr>
              <w:t>ДОГОВОР</w:t>
            </w:r>
          </w:p>
        </w:tc>
      </w:tr>
      <w:tr>
        <w:trPr>
          <w:trHeight w:val="270" w:hRule="exact"/>
        </w:trPr>
        <w:tc>
          <w:tcPr>
            <w:tcW w:w="10393"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sz w:val="20"/>
                <w:szCs w:val="20"/>
              </w:rPr>
              <w:t>купли-продажи</w:t>
            </w:r>
          </w:p>
        </w:tc>
      </w:tr>
      <w:tr>
        <w:trPr>
          <w:trHeight w:val="270" w:hRule="exact"/>
        </w:trPr>
        <w:tc>
          <w:tcPr>
            <w:tcW w:w="9459" w:type="dxa"/>
            <w:gridSpan w:val="10"/>
            <w:tcBorders/>
            <w:shd w:color="FFFFFF" w:fill="auto" w:val="clear"/>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sz w:val="16"/>
                <w:szCs w:val="20"/>
              </w:rPr>
            </w:r>
          </w:p>
        </w:tc>
        <w:tc>
          <w:tcPr>
            <w:tcW w:w="934" w:type="dxa"/>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sz w:val="16"/>
                <w:szCs w:val="20"/>
              </w:rPr>
            </w:r>
          </w:p>
        </w:tc>
      </w:tr>
      <w:tr>
        <w:trPr>
          <w:trHeight w:val="300" w:hRule="exact"/>
        </w:trPr>
        <w:tc>
          <w:tcPr>
            <w:tcW w:w="10393"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Мы, нижеподписавшиеся:</w:t>
            </w:r>
          </w:p>
        </w:tc>
      </w:tr>
      <w:tr>
        <w:trPr>
          <w:trHeight w:val="777" w:hRule="exact"/>
        </w:trPr>
        <w:tc>
          <w:tcPr>
            <w:tcW w:w="10393"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Гражданин РФ, в лице Гражданина РФ Финансового управляющего, действующего на основании решения Арбитражного суда №А, именуемый в дальнейшем «Продавец», с одной стороны, и</w:t>
            </w:r>
          </w:p>
        </w:tc>
      </w:tr>
      <w:tr>
        <w:trPr>
          <w:trHeight w:val="495" w:hRule="exact"/>
        </w:trPr>
        <w:tc>
          <w:tcPr>
            <w:tcW w:w="10393"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Гражданин РФ , именуемый в дальнейшем «Покупатель» с другой стороны, а совместно именуемые «Стороны», заключили настоящий договор о нижеследующем,</w:t>
            </w:r>
          </w:p>
        </w:tc>
      </w:tr>
      <w:tr>
        <w:trPr>
          <w:trHeight w:val="300" w:hRule="exact"/>
        </w:trPr>
        <w:tc>
          <w:tcPr>
            <w:tcW w:w="10393"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sz w:val="20"/>
                <w:szCs w:val="20"/>
              </w:rPr>
              <w:t>1.  Предмет договора</w:t>
            </w:r>
          </w:p>
        </w:tc>
      </w:tr>
      <w:tr>
        <w:trPr>
          <w:trHeight w:val="1125" w:hRule="exact"/>
        </w:trPr>
        <w:tc>
          <w:tcPr>
            <w:tcW w:w="10393"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sz w:val="16"/>
                <w:szCs w:val="20"/>
              </w:rPr>
              <w:t xml:space="preserve">1.1. </w:t>
            </w:r>
            <w:r>
              <w:rPr>
                <w:rFonts w:ascii="Times New Roman" w:hAnsi="Times New Roman"/>
                <w:kern w:val="0"/>
                <w:sz w:val="16"/>
                <w:szCs w:val="20"/>
              </w:rPr>
              <w:t>В соответствии с Протоколом №  от  по продаже имущества, размещенным на торговой площадке  (далее по тексту – "Протокол"), Продавец обязуется передать в собственность Покупателя, признанного Победителем указанных торгов, имущество, выигранное на этих торгах, а именно:</w:t>
            </w:r>
            <w:r>
              <w:rPr>
                <w:rFonts w:ascii="Times New Roman" w:hAnsi="Times New Roman"/>
                <w:sz w:val="16"/>
                <w:szCs w:val="20"/>
              </w:rPr>
              <w:br/>
            </w:r>
          </w:p>
        </w:tc>
      </w:tr>
      <w:tr>
        <w:trPr>
          <w:trHeight w:val="300" w:hRule="exact"/>
        </w:trPr>
        <w:tc>
          <w:tcPr>
            <w:tcW w:w="10393" w:type="dxa"/>
            <w:gridSpan w:val="11"/>
            <w:tcBorders/>
            <w:shd w:color="FFFFFF" w:fill="FFFFFF"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sz w:val="16"/>
                <w:szCs w:val="20"/>
              </w:rPr>
            </w:r>
          </w:p>
        </w:tc>
      </w:tr>
      <w:tr>
        <w:trPr>
          <w:trHeight w:val="495" w:hRule="exact"/>
        </w:trPr>
        <w:tc>
          <w:tcPr>
            <w:tcW w:w="10393"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1.2. Имущество принадлежит  Продавцу на праве собственности на основании Паспорта транспортного средства , Свидетельства о регистрации ТС .</w:t>
            </w:r>
          </w:p>
        </w:tc>
      </w:tr>
      <w:tr>
        <w:trPr>
          <w:trHeight w:val="495" w:hRule="exact"/>
        </w:trPr>
        <w:tc>
          <w:tcPr>
            <w:tcW w:w="10393"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1.3. На момент составления Договора купли-продажи на вышеуказанном имуществе обременения/ограничения отсутствуют.</w:t>
            </w:r>
          </w:p>
        </w:tc>
      </w:tr>
      <w:tr>
        <w:trPr>
          <w:trHeight w:val="975" w:hRule="exact"/>
        </w:trPr>
        <w:tc>
          <w:tcPr>
            <w:tcW w:w="10393"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sz w:val="20"/>
                <w:szCs w:val="20"/>
              </w:rPr>
              <w:t>1.4. Имущество обеспечено обременением в виде залога в пользу</w:t>
            </w:r>
          </w:p>
          <w:p>
            <w:pPr>
              <w:pStyle w:val="Normal"/>
              <w:widowControl w:val="false"/>
              <w:bidi w:val="0"/>
              <w:spacing w:lineRule="auto" w:line="240" w:before="0" w:after="0"/>
              <w:jc w:val="both"/>
              <w:rPr>
                <w:rFonts w:ascii="Times New Roman" w:hAnsi="Times New Roman"/>
                <w:sz w:val="20"/>
                <w:szCs w:val="20"/>
              </w:rPr>
            </w:pPr>
            <w:r>
              <w:rPr>
                <w:rFonts w:ascii="Times New Roman" w:hAnsi="Times New Roman"/>
                <w:sz w:val="20"/>
                <w:szCs w:val="20"/>
              </w:rPr>
              <w:br/>
              <w:t>Продажа имущества на торгах приводит к прекращению права залога (ипотеки) - пп. 4 п. 1 ст. 352 ГК РФ и абз. 6 п. 5 ст. 18.1 ФЗ «О несостоятельности (банкротстве)» от 26.10.2002 г. № 127-ФЗ.</w:t>
            </w:r>
          </w:p>
        </w:tc>
      </w:tr>
      <w:tr>
        <w:trPr>
          <w:trHeight w:val="300" w:hRule="exact"/>
        </w:trPr>
        <w:tc>
          <w:tcPr>
            <w:tcW w:w="10393"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sz w:val="20"/>
                <w:szCs w:val="20"/>
              </w:rPr>
              <w:t>2. Обязанности Сторон</w:t>
            </w:r>
          </w:p>
        </w:tc>
      </w:tr>
      <w:tr>
        <w:trPr>
          <w:trHeight w:val="300" w:hRule="exact"/>
        </w:trPr>
        <w:tc>
          <w:tcPr>
            <w:tcW w:w="10393"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2.1. Продавец обязуется:</w:t>
            </w:r>
          </w:p>
        </w:tc>
      </w:tr>
      <w:tr>
        <w:trPr>
          <w:trHeight w:val="300" w:hRule="exact"/>
        </w:trPr>
        <w:tc>
          <w:tcPr>
            <w:tcW w:w="10393"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2.1.1. Передать Покупателю Имущество по акту приема-передачи.</w:t>
            </w:r>
          </w:p>
        </w:tc>
      </w:tr>
      <w:tr>
        <w:trPr>
          <w:trHeight w:val="735" w:hRule="exact"/>
        </w:trPr>
        <w:tc>
          <w:tcPr>
            <w:tcW w:w="10393"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2.1.2. Передать Покупателю по акту приема-передачи, все необходимые документы для регистрации перехода права собственности на выигранное на открытых торгах Имущество, в течение 30 (тридцати) рабочих дней с момента поступления на расчетный счет Продавца денежных средств в соответствии с настоящим договором.</w:t>
            </w:r>
          </w:p>
        </w:tc>
      </w:tr>
      <w:tr>
        <w:trPr>
          <w:trHeight w:val="300" w:hRule="exact"/>
        </w:trPr>
        <w:tc>
          <w:tcPr>
            <w:tcW w:w="10393"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2.2. Покупатель обязан:</w:t>
            </w:r>
          </w:p>
        </w:tc>
      </w:tr>
      <w:tr>
        <w:trPr>
          <w:trHeight w:val="285" w:hRule="exact"/>
        </w:trPr>
        <w:tc>
          <w:tcPr>
            <w:tcW w:w="10393" w:type="dxa"/>
            <w:gridSpan w:val="11"/>
            <w:tcBorders/>
            <w:shd w:color="FFFFFF" w:fill="auto" w:val="clear"/>
            <w:vAlign w:val="bottom"/>
          </w:tcPr>
          <w:p>
            <w:pPr>
              <w:pStyle w:val="Normal"/>
              <w:widowControl w:val="false"/>
              <w:bidi w:val="0"/>
              <w:spacing w:lineRule="auto" w:line="240" w:before="0" w:after="0"/>
              <w:jc w:val="left"/>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2.2.1. Оплатить полную стоимость имущества в соответствии с настоящим договором.</w:t>
            </w:r>
          </w:p>
        </w:tc>
      </w:tr>
      <w:tr>
        <w:trPr>
          <w:trHeight w:val="495" w:hRule="exact"/>
        </w:trPr>
        <w:tc>
          <w:tcPr>
            <w:tcW w:w="10393"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2.2.2. В течение 30 (тридцати) рабочих дней со дня исполнения всех своих обязательств, предусмотренных настоящим договором, принять от Продавца имущество по акту приема-передачи.</w:t>
            </w:r>
          </w:p>
        </w:tc>
      </w:tr>
      <w:tr>
        <w:trPr>
          <w:trHeight w:val="300" w:hRule="exact"/>
        </w:trPr>
        <w:tc>
          <w:tcPr>
            <w:tcW w:w="10393"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sz w:val="20"/>
                <w:szCs w:val="20"/>
              </w:rPr>
              <w:t>3. Цена и порядок расчетов</w:t>
            </w:r>
          </w:p>
        </w:tc>
      </w:tr>
      <w:tr>
        <w:trPr>
          <w:trHeight w:val="300" w:hRule="exact"/>
        </w:trPr>
        <w:tc>
          <w:tcPr>
            <w:tcW w:w="10393" w:type="dxa"/>
            <w:gridSpan w:val="11"/>
            <w:tcBorders/>
            <w:shd w:color="FFFFFF" w:fill="auto" w:val="clear"/>
            <w:vAlign w:val="bottom"/>
          </w:tcPr>
          <w:p>
            <w:pPr>
              <w:pStyle w:val="Normal"/>
              <w:widowControl w:val="false"/>
              <w:bidi w:val="0"/>
              <w:spacing w:lineRule="auto" w:line="240" w:before="0" w:after="0"/>
              <w:jc w:val="left"/>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3.1. Стоимость имущества составляет:</w:t>
            </w:r>
          </w:p>
        </w:tc>
      </w:tr>
      <w:tr>
        <w:trPr>
          <w:trHeight w:val="975" w:hRule="exact"/>
        </w:trPr>
        <w:tc>
          <w:tcPr>
            <w:tcW w:w="10393"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(Ноль) рублей 00 копеек без учета НДС (подпункт 15 п.2 ст.146 НК), Задаток, оплаченный Покупателем, составляет  (Ноль) рублей 00 копеек, итоговая сумма оплаты Покупателем составляет ( (Ноль) рублей 00 копеек. Цена настоящего договора установлена по результатам проведения торгов, которые проводились  г. на сайте , является окончательной и изменению не подлежит.</w:t>
            </w:r>
          </w:p>
        </w:tc>
      </w:tr>
      <w:tr>
        <w:trPr>
          <w:trHeight w:val="525" w:hRule="exact"/>
        </w:trPr>
        <w:tc>
          <w:tcPr>
            <w:tcW w:w="10393"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3.2. Расходы по переходу права собственности и иные, не указанные в настоящем договоре возможные расходы, необходимые для исполнения договорных обязательств, несет Покупатель.</w:t>
            </w:r>
          </w:p>
        </w:tc>
      </w:tr>
      <w:tr>
        <w:trPr>
          <w:trHeight w:val="495" w:hRule="exact"/>
        </w:trPr>
        <w:tc>
          <w:tcPr>
            <w:tcW w:w="10393"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3.3. Оплата стоимости имущества по настоящему договору осуществляется Покупателем безналичным платежом на расчетный счет:</w:t>
            </w:r>
          </w:p>
        </w:tc>
      </w:tr>
      <w:tr>
        <w:trPr>
          <w:trHeight w:val="417" w:hRule="exact"/>
        </w:trPr>
        <w:tc>
          <w:tcPr>
            <w:tcW w:w="10393" w:type="dxa"/>
            <w:gridSpan w:val="11"/>
            <w:tcBorders/>
            <w:shd w:color="FFFFFF" w:fill="auto" w:val="clear"/>
            <w:vAlign w:val="bottom"/>
          </w:tcPr>
          <w:p>
            <w:pPr>
              <w:pStyle w:val="Normal"/>
              <w:widowControl w:val="false"/>
              <w:bidi w:val="0"/>
              <w:spacing w:lineRule="auto" w:line="240" w:before="0" w:after="0"/>
              <w:jc w:val="left"/>
              <w:rPr>
                <w:rFonts w:ascii="Times New Roman" w:hAnsi="Times New Roman"/>
                <w:sz w:val="20"/>
                <w:szCs w:val="20"/>
              </w:rPr>
            </w:pPr>
            <w:r>
              <w:rPr>
                <w:rFonts w:ascii="Times New Roman" w:hAnsi="Times New Roman"/>
                <w:sz w:val="16"/>
                <w:szCs w:val="20"/>
              </w:rPr>
            </w:r>
          </w:p>
        </w:tc>
      </w:tr>
      <w:tr>
        <w:trPr>
          <w:trHeight w:val="804" w:hRule="exact"/>
        </w:trPr>
        <w:tc>
          <w:tcPr>
            <w:tcW w:w="10393" w:type="dxa"/>
            <w:gridSpan w:val="11"/>
            <w:tcBorders/>
            <w:shd w:color="FFFFFF" w:fill="auto" w:val="clear"/>
            <w:vAlign w:val="bottom"/>
          </w:tcPr>
          <w:p>
            <w:pPr>
              <w:pStyle w:val="Normal"/>
              <w:widowControl w:val="false"/>
              <w:bidi w:val="0"/>
              <w:spacing w:lineRule="auto" w:line="240" w:before="0" w:after="0"/>
              <w:jc w:val="left"/>
              <w:rPr>
                <w:rFonts w:ascii="Times New Roman" w:hAnsi="Times New Roman"/>
                <w:sz w:val="20"/>
                <w:szCs w:val="20"/>
              </w:rPr>
            </w:pPr>
            <w:r>
              <w:rPr>
                <w:rFonts w:ascii="Times New Roman" w:hAnsi="Times New Roman"/>
                <w:sz w:val="20"/>
                <w:szCs w:val="20"/>
              </w:rPr>
              <w:t xml:space="preserve">в течение </w:t>
            </w:r>
            <w:r>
              <w:rPr>
                <w:rFonts w:eastAsia="NSimSun" w:cs="Arial" w:ascii="Times New Roman" w:hAnsi="Times New Roman"/>
                <w:color w:val="auto"/>
                <w:kern w:val="2"/>
                <w:sz w:val="20"/>
                <w:szCs w:val="20"/>
                <w:lang w:val="ru-RU" w:eastAsia="zh-CN" w:bidi="hi-IN"/>
              </w:rPr>
              <w:t>тридцати</w:t>
            </w:r>
            <w:r>
              <w:rPr>
                <w:rFonts w:ascii="Times New Roman" w:hAnsi="Times New Roman"/>
                <w:sz w:val="20"/>
                <w:szCs w:val="20"/>
              </w:rPr>
              <w:t xml:space="preserve"> дней с даты подписания настоящего договора.</w:t>
            </w:r>
          </w:p>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r>
      <w:tr>
        <w:trPr>
          <w:trHeight w:val="495" w:hRule="exact"/>
        </w:trPr>
        <w:tc>
          <w:tcPr>
            <w:tcW w:w="10393"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ВНИМАНИЕ! В НАЗНАЧЕНИЕ ПЛАТЕЖА ПРИ ПЕРЕВОДЕ ОСНОВНОЙ СУММЫ ПО ТОРГАМ УКАЗЫВАЕТСЯ: "ФИО ДОЛЖНИКА, оплата по дкп от ... г. по имуществу ...»</w:t>
            </w:r>
          </w:p>
        </w:tc>
      </w:tr>
      <w:tr>
        <w:trPr>
          <w:trHeight w:val="300" w:hRule="exact"/>
        </w:trPr>
        <w:tc>
          <w:tcPr>
            <w:tcW w:w="944" w:type="dxa"/>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sz w:val="16"/>
                <w:szCs w:val="20"/>
              </w:rPr>
            </w:r>
          </w:p>
        </w:tc>
        <w:tc>
          <w:tcPr>
            <w:tcW w:w="945"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sz w:val="16"/>
                <w:szCs w:val="22"/>
              </w:rPr>
            </w:r>
          </w:p>
        </w:tc>
        <w:tc>
          <w:tcPr>
            <w:tcW w:w="945"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sz w:val="16"/>
                <w:szCs w:val="22"/>
              </w:rPr>
            </w:r>
          </w:p>
        </w:tc>
        <w:tc>
          <w:tcPr>
            <w:tcW w:w="945"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sz w:val="16"/>
                <w:szCs w:val="22"/>
              </w:rPr>
            </w:r>
          </w:p>
        </w:tc>
        <w:tc>
          <w:tcPr>
            <w:tcW w:w="945"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sz w:val="16"/>
                <w:szCs w:val="22"/>
              </w:rPr>
            </w:r>
          </w:p>
        </w:tc>
        <w:tc>
          <w:tcPr>
            <w:tcW w:w="949"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sz w:val="16"/>
                <w:szCs w:val="22"/>
              </w:rPr>
            </w:r>
          </w:p>
        </w:tc>
        <w:tc>
          <w:tcPr>
            <w:tcW w:w="948"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sz w:val="16"/>
                <w:szCs w:val="22"/>
              </w:rPr>
            </w:r>
          </w:p>
        </w:tc>
        <w:tc>
          <w:tcPr>
            <w:tcW w:w="945"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sz w:val="16"/>
                <w:szCs w:val="22"/>
              </w:rPr>
            </w:r>
          </w:p>
        </w:tc>
        <w:tc>
          <w:tcPr>
            <w:tcW w:w="946"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sz w:val="16"/>
                <w:szCs w:val="22"/>
              </w:rPr>
            </w:r>
          </w:p>
        </w:tc>
        <w:tc>
          <w:tcPr>
            <w:tcW w:w="947"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sz w:val="16"/>
                <w:szCs w:val="22"/>
              </w:rPr>
            </w:r>
          </w:p>
        </w:tc>
        <w:tc>
          <w:tcPr>
            <w:tcW w:w="934"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sz w:val="16"/>
                <w:szCs w:val="22"/>
              </w:rPr>
            </w:r>
          </w:p>
        </w:tc>
      </w:tr>
      <w:tr>
        <w:trPr>
          <w:trHeight w:val="735" w:hRule="exact"/>
        </w:trPr>
        <w:tc>
          <w:tcPr>
            <w:tcW w:w="10393"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sz w:val="16"/>
                <w:szCs w:val="20"/>
              </w:rPr>
              <w:t xml:space="preserve">                </w:t>
            </w:r>
            <w:r>
              <w:rPr>
                <w:rFonts w:ascii="Times New Roman" w:hAnsi="Times New Roman"/>
                <w:sz w:val="16"/>
                <w:szCs w:val="20"/>
              </w:rPr>
              <w:t>Моментом надлежащей оплаты по настоящему договору считается момент</w:t>
            </w:r>
            <w:r>
              <w:rPr>
                <w:rFonts w:ascii="Times New Roman" w:hAnsi="Times New Roman"/>
                <w:b w:val="false"/>
                <w:bCs w:val="false"/>
                <w:sz w:val="16"/>
                <w:szCs w:val="20"/>
              </w:rPr>
              <w:t xml:space="preserve"> </w:t>
            </w:r>
            <w:r>
              <w:rPr>
                <w:rFonts w:ascii="Times New Roman" w:hAnsi="Times New Roman"/>
                <w:b w:val="false"/>
                <w:bCs w:val="false"/>
                <w:i w:val="false"/>
                <w:caps w:val="false"/>
                <w:smallCaps w:val="false"/>
                <w:spacing w:val="0"/>
                <w:sz w:val="16"/>
                <w:szCs w:val="20"/>
              </w:rPr>
              <w:t>зачисления денежных средств на расчетный счет Продавца.</w:t>
            </w:r>
          </w:p>
        </w:tc>
      </w:tr>
      <w:tr>
        <w:trPr>
          <w:trHeight w:val="300" w:hRule="exact"/>
        </w:trPr>
        <w:tc>
          <w:tcPr>
            <w:tcW w:w="10393"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sz w:val="20"/>
                <w:szCs w:val="20"/>
              </w:rPr>
              <w:t>4. Передача имущества и переход риска случайной гибели имущества</w:t>
            </w:r>
          </w:p>
        </w:tc>
      </w:tr>
      <w:tr>
        <w:trPr>
          <w:trHeight w:val="930" w:hRule="exact"/>
        </w:trPr>
        <w:tc>
          <w:tcPr>
            <w:tcW w:w="10393"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4.1. Продавец в течение 30 (тридцати) рабочих дней со дня исполнения Покупателем всех своих обязательств, предусмотренных настоящим договором, обязан передать Покупателю Имущество. Передача имущества осуществляется посредством подписания Сторонами акта приема-передачи. Момент подписания акта приема-передачи является моментом передачи Имущества Покупателю.</w:t>
            </w:r>
          </w:p>
        </w:tc>
      </w:tr>
      <w:tr>
        <w:trPr>
          <w:trHeight w:val="690" w:hRule="exact"/>
        </w:trPr>
        <w:tc>
          <w:tcPr>
            <w:tcW w:w="10393"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4.2. Стороны договора определили, что Продавец осуществляет подготовку Имущества к передаче его Покупателю, в том числе составление и представление на подписание акта приема-передачи. Указанные действия осуществляются Продавцом своими силами и за свой счет.</w:t>
            </w:r>
          </w:p>
        </w:tc>
      </w:tr>
      <w:tr>
        <w:trPr>
          <w:trHeight w:val="795" w:hRule="exact"/>
        </w:trPr>
        <w:tc>
          <w:tcPr>
            <w:tcW w:w="10393"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4.3. Имущество, полагают Стороны договора, будет считаться переданным от Продавца Покупателю с момента подписания акта приема-передачи обеими Сторонами договора. С этого момента на Покупателя переходит риск случайной гибели или случайного повреждения имущества, переданного Покупателю.</w:t>
            </w:r>
          </w:p>
        </w:tc>
      </w:tr>
      <w:tr>
        <w:trPr>
          <w:trHeight w:val="690" w:hRule="exact"/>
        </w:trPr>
        <w:tc>
          <w:tcPr>
            <w:tcW w:w="10393"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4.4. В случае, если Покупатель уклоняется от подписания акта приема-передачи по истечении 30 (тридцати) рабочих дней со дня исполнения Покупателем всех своих обязательств, риск случайной гибели или случайного повреждения Имущества переходит на него.</w:t>
            </w:r>
          </w:p>
        </w:tc>
      </w:tr>
      <w:tr>
        <w:trPr>
          <w:trHeight w:val="285" w:hRule="exact"/>
        </w:trPr>
        <w:tc>
          <w:tcPr>
            <w:tcW w:w="10393"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sz w:val="20"/>
                <w:szCs w:val="20"/>
              </w:rPr>
              <w:t>5. Возникновение права собственности</w:t>
            </w:r>
          </w:p>
        </w:tc>
      </w:tr>
      <w:tr>
        <w:trPr>
          <w:trHeight w:val="1275" w:hRule="exact"/>
        </w:trPr>
        <w:tc>
          <w:tcPr>
            <w:tcW w:w="10393"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5.1. Право собственности Имуществом возникает у Покупателя с момента подписания акта приема-передачи Имуществом либо по истечении 30 (тридцати) рабочих дней со дня исполнения Покупателем всех своих обязательств в случае, если Покупатель уклоняется от подписания акта приема-передачи. Покупатель до подписания настоящего договора ознакомился с техническим состоянием Имущества. Имущество передано в надлежащем качественном состоянии.</w:t>
            </w:r>
          </w:p>
        </w:tc>
      </w:tr>
      <w:tr>
        <w:trPr>
          <w:trHeight w:val="285" w:hRule="exact"/>
        </w:trPr>
        <w:tc>
          <w:tcPr>
            <w:tcW w:w="10393"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sz w:val="20"/>
                <w:szCs w:val="20"/>
              </w:rPr>
              <w:t>6. Ответственность Сторон</w:t>
            </w:r>
          </w:p>
        </w:tc>
      </w:tr>
      <w:tr>
        <w:trPr>
          <w:trHeight w:val="510" w:hRule="exact"/>
        </w:trPr>
        <w:tc>
          <w:tcPr>
            <w:tcW w:w="10393"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6.1. Любая из Сторон настоящего договора, не исполнившая обязательства по договору или исполнившая их ненадлежащим образом, несет ответственность за упомянутое при наличии вины (умысла или неосторожности).</w:t>
            </w:r>
          </w:p>
        </w:tc>
      </w:tr>
      <w:tr>
        <w:trPr>
          <w:trHeight w:val="525" w:hRule="exact"/>
        </w:trPr>
        <w:tc>
          <w:tcPr>
            <w:tcW w:w="10393"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6.2. Отсутствие вины за неисполнение или ненадлежащее исполнение обязательств по договору доказывается Стороной, нарушившей обязательства.</w:t>
            </w:r>
          </w:p>
        </w:tc>
      </w:tr>
      <w:tr>
        <w:trPr>
          <w:trHeight w:val="2481" w:hRule="exact"/>
        </w:trPr>
        <w:tc>
          <w:tcPr>
            <w:tcW w:w="10393"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6.3. Сторона, не исполнившая или ненадлежащим образом исполнившая свои обязательства по договору при выполнении его условий, несет ответственность, если не докажет, что надлежащее исполнение обязательств оказалось невозможным вследствие непреодолимой силы (форс-мажор), т. е. чрезвычайных и непредотвратимых обстоятельств при конкретных условиях конкретного периода времени. К обстоятельствам непреодолимой силы Стороны настоящего договора отнесли такие: явления стихийного характера (землетрясение, наводнение, удар молнии, извержение вулкана, сель, оползень, цунами и т. п.), температуру, силу ветра и уровень осадков в месте исполнения обязательств по договору, исключающих для человека нормальную жизнедеятельность; мораторий органов власти и управления; забастовки, организованные в установленном законом порядке, и другие обстоятельства, которые могут быть определены Сторонами договора как непреодолимая сила для надлежащего исполнения обязательств.</w:t>
            </w:r>
          </w:p>
        </w:tc>
      </w:tr>
      <w:tr>
        <w:trPr>
          <w:trHeight w:val="285" w:hRule="exact"/>
        </w:trPr>
        <w:tc>
          <w:tcPr>
            <w:tcW w:w="10393"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sz w:val="20"/>
                <w:szCs w:val="20"/>
              </w:rPr>
              <w:t>7. Порядок разрешения споров</w:t>
            </w:r>
          </w:p>
        </w:tc>
      </w:tr>
      <w:tr>
        <w:trPr>
          <w:trHeight w:val="540" w:hRule="exact"/>
        </w:trPr>
        <w:tc>
          <w:tcPr>
            <w:tcW w:w="10393"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7.1. Споры, вытекающие из настоящего Договора, подлежат рассмотрению в арбитражном суде в порядке, предусмотренном действующим законодательством РФ.</w:t>
            </w:r>
          </w:p>
        </w:tc>
      </w:tr>
      <w:tr>
        <w:trPr>
          <w:trHeight w:val="285" w:hRule="exact"/>
        </w:trPr>
        <w:tc>
          <w:tcPr>
            <w:tcW w:w="10393"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sz w:val="20"/>
                <w:szCs w:val="20"/>
              </w:rPr>
              <w:t>8. Условия изменения и расторжения договора</w:t>
            </w:r>
          </w:p>
        </w:tc>
      </w:tr>
      <w:tr>
        <w:trPr>
          <w:trHeight w:val="585" w:hRule="exact"/>
        </w:trPr>
        <w:tc>
          <w:tcPr>
            <w:tcW w:w="10393"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8.1. Расторжение настоящего договора осуществляется в порядке, предусмотренном законодательством Российской Федерации, без возврата внесенного задатка.</w:t>
            </w:r>
          </w:p>
        </w:tc>
      </w:tr>
      <w:tr>
        <w:trPr>
          <w:trHeight w:val="765" w:hRule="exact"/>
        </w:trPr>
        <w:tc>
          <w:tcPr>
            <w:tcW w:w="10393"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8.2. Если покупатель в нарушение договора купли-продажи отказывается принять и оплатить товар, продавец вправе по своему выбору потребовать оплаты товара либо отказаться от исполнения договора  (п. 4 ст. 486 Гражданского Кодекса Российской Федерации).</w:t>
              <w:br/>
            </w:r>
          </w:p>
        </w:tc>
      </w:tr>
      <w:tr>
        <w:trPr>
          <w:trHeight w:val="1020" w:hRule="exact"/>
        </w:trPr>
        <w:tc>
          <w:tcPr>
            <w:tcW w:w="10393"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8.3. Право на односторонний отказ от договора (исполнения договора) (статья 310 Гражданского Кодекса Российской Федерации) может быть осуществлено управомоченной стороной путем уведомления другой стороны об отказе от договора (исполнения договора). Договор прекращается с момента получения данного уведомления, если иное не предусмотрено настоящим Кодексом, другими законами, иными правовыми актами или договором.</w:t>
              <w:br/>
            </w:r>
          </w:p>
        </w:tc>
      </w:tr>
      <w:tr>
        <w:trPr>
          <w:trHeight w:val="780" w:hRule="exact"/>
        </w:trPr>
        <w:tc>
          <w:tcPr>
            <w:tcW w:w="10393"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В случае одностороннего отказа от договора (исполнения договора) полностью или частично, если такой отказ допускается, договор считается расторгнутым или измененным. (пп. 1, 2 Статья 450.1. Гражданского Кодекса Российской Федерации).</w:t>
            </w:r>
          </w:p>
        </w:tc>
      </w:tr>
      <w:tr>
        <w:trPr>
          <w:trHeight w:val="285" w:hRule="exact"/>
        </w:trPr>
        <w:tc>
          <w:tcPr>
            <w:tcW w:w="10393"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sz w:val="20"/>
                <w:szCs w:val="20"/>
              </w:rPr>
              <w:t>9. Заключительные положения</w:t>
            </w:r>
          </w:p>
        </w:tc>
      </w:tr>
      <w:tr>
        <w:trPr>
          <w:trHeight w:val="585" w:hRule="exact"/>
        </w:trPr>
        <w:tc>
          <w:tcPr>
            <w:tcW w:w="10393"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9.1. Настоящий договор вступает в силу с момента его подписания и действует до момента окончания исполнения Сторонами договора своих обязательств по нему.</w:t>
            </w:r>
          </w:p>
        </w:tc>
      </w:tr>
      <w:tr>
        <w:trPr>
          <w:trHeight w:val="300" w:hRule="exact"/>
        </w:trPr>
        <w:tc>
          <w:tcPr>
            <w:tcW w:w="10393"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9.2. Сторонами договора рассмотрены все документы, подготовленные в связи с продажей имущества.</w:t>
            </w:r>
          </w:p>
        </w:tc>
      </w:tr>
      <w:tr>
        <w:trPr>
          <w:trHeight w:val="270" w:hRule="exact"/>
        </w:trPr>
        <w:tc>
          <w:tcPr>
            <w:tcW w:w="10393"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9.3. Настоящий Договор составлен в 2-х экземплярах, имеющих одинаковую юридическую силу.</w:t>
            </w:r>
          </w:p>
        </w:tc>
      </w:tr>
      <w:tr>
        <w:trPr>
          <w:trHeight w:val="990" w:hRule="exact"/>
        </w:trPr>
        <w:tc>
          <w:tcPr>
            <w:tcW w:w="10393"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9.4. По всем вопросам, не нашедшим решения в условиях настоящего договора, но прямо или косвенно вытекающим из отношений Сторон по нему, затрагивающих имущественные интересы и деловую репутацию Сторон настоящего договора, имея в виду необходимости защиты их охраняемых законом прав и интересов, Стороны настоящего договора будут руководствоваться нормами и положениями действующего законодательства Российской Федерации.</w:t>
            </w:r>
          </w:p>
        </w:tc>
      </w:tr>
      <w:tr>
        <w:trPr>
          <w:trHeight w:val="285" w:hRule="exact"/>
        </w:trPr>
        <w:tc>
          <w:tcPr>
            <w:tcW w:w="10393"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sz w:val="20"/>
                <w:szCs w:val="20"/>
              </w:rPr>
              <w:t>10. Реквизиты и подписи Сторон</w:t>
            </w:r>
          </w:p>
        </w:tc>
      </w:tr>
      <w:tr>
        <w:trPr>
          <w:trHeight w:val="285" w:hRule="exact"/>
        </w:trPr>
        <w:tc>
          <w:tcPr>
            <w:tcW w:w="4724" w:type="dxa"/>
            <w:gridSpan w:val="5"/>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sz w:val="20"/>
                <w:szCs w:val="20"/>
              </w:rPr>
              <w:t>Продавец:</w:t>
            </w:r>
          </w:p>
        </w:tc>
        <w:tc>
          <w:tcPr>
            <w:tcW w:w="5669" w:type="dxa"/>
            <w:gridSpan w:val="6"/>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sz w:val="20"/>
                <w:szCs w:val="20"/>
              </w:rPr>
              <w:t>Покупатель:</w:t>
            </w:r>
          </w:p>
        </w:tc>
      </w:tr>
      <w:tr>
        <w:trPr>
          <w:trHeight w:val="285" w:hRule="exact"/>
        </w:trPr>
        <w:tc>
          <w:tcPr>
            <w:tcW w:w="4724" w:type="dxa"/>
            <w:gridSpan w:val="5"/>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sz w:val="20"/>
                <w:szCs w:val="20"/>
              </w:rPr>
              <w:t>Гражданин РФ</w:t>
            </w:r>
          </w:p>
        </w:tc>
        <w:tc>
          <w:tcPr>
            <w:tcW w:w="5669" w:type="dxa"/>
            <w:gridSpan w:val="6"/>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sz w:val="20"/>
                <w:szCs w:val="20"/>
              </w:rPr>
              <w:t>Гражданин РФ</w:t>
            </w:r>
          </w:p>
        </w:tc>
      </w:tr>
      <w:tr>
        <w:trPr>
          <w:trHeight w:val="516" w:hRule="exact"/>
        </w:trPr>
        <w:tc>
          <w:tcPr>
            <w:tcW w:w="4724" w:type="dxa"/>
            <w:gridSpan w:val="5"/>
            <w:tcBorders/>
            <w:shd w:color="FFFFFF" w:fill="auto" w:val="clear"/>
            <w:vAlign w:val="bottom"/>
          </w:tcPr>
          <w:p>
            <w:pPr>
              <w:pStyle w:val="Normal"/>
              <w:widowControl w:val="false"/>
              <w:bidi w:val="0"/>
              <w:spacing w:lineRule="auto" w:line="240" w:before="0" w:after="0"/>
              <w:jc w:val="both"/>
              <w:rPr>
                <w:rFonts w:ascii="Times New Roman" w:hAnsi="Times New Roman"/>
                <w:b/>
                <w:b/>
                <w:sz w:val="20"/>
                <w:szCs w:val="20"/>
              </w:rPr>
            </w:pPr>
            <w:r>
              <w:rPr>
                <w:rFonts w:ascii="Times New Roman" w:hAnsi="Times New Roman"/>
                <w:b/>
                <w:sz w:val="16"/>
                <w:szCs w:val="20"/>
              </w:rPr>
            </w:r>
          </w:p>
        </w:tc>
        <w:tc>
          <w:tcPr>
            <w:tcW w:w="5669" w:type="dxa"/>
            <w:gridSpan w:val="6"/>
            <w:vMerge w:val="restart"/>
            <w:tcBorders/>
            <w:shd w:color="FFFFFF" w:fill="auto" w:val="clear"/>
          </w:tcPr>
          <w:p>
            <w:pPr>
              <w:pStyle w:val="Normal"/>
              <w:widowControl w:val="false"/>
              <w:bidi w:val="0"/>
              <w:spacing w:lineRule="auto" w:line="240" w:before="0" w:after="0"/>
              <w:jc w:val="both"/>
              <w:rPr>
                <w:rFonts w:ascii="Times New Roman" w:hAnsi="Times New Roman"/>
                <w:b/>
                <w:b/>
                <w:sz w:val="20"/>
                <w:szCs w:val="20"/>
              </w:rPr>
            </w:pPr>
            <w:r>
              <w:rPr>
                <w:rFonts w:ascii="Times New Roman" w:hAnsi="Times New Roman"/>
                <w:b/>
                <w:sz w:val="16"/>
                <w:szCs w:val="20"/>
              </w:rPr>
            </w:r>
          </w:p>
        </w:tc>
      </w:tr>
      <w:tr>
        <w:trPr>
          <w:trHeight w:val="300" w:hRule="exact"/>
        </w:trPr>
        <w:tc>
          <w:tcPr>
            <w:tcW w:w="2834" w:type="dxa"/>
            <w:gridSpan w:val="3"/>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sz w:val="20"/>
                <w:szCs w:val="20"/>
              </w:rPr>
              <w:t>Реквизиты:</w:t>
            </w:r>
          </w:p>
        </w:tc>
        <w:tc>
          <w:tcPr>
            <w:tcW w:w="945"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sz w:val="16"/>
                <w:szCs w:val="22"/>
              </w:rPr>
            </w:r>
          </w:p>
        </w:tc>
        <w:tc>
          <w:tcPr>
            <w:tcW w:w="945"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sz w:val="16"/>
                <w:szCs w:val="22"/>
              </w:rPr>
            </w:r>
          </w:p>
        </w:tc>
        <w:tc>
          <w:tcPr>
            <w:tcW w:w="5669" w:type="dxa"/>
            <w:gridSpan w:val="6"/>
            <w:vMerge w:val="continue"/>
            <w:tcBorders/>
            <w:shd w:color="FFFFFF" w:fill="auto" w:val="clear"/>
          </w:tcPr>
          <w:p>
            <w:pPr>
              <w:pStyle w:val="Normal"/>
              <w:widowControl w:val="false"/>
              <w:bidi w:val="0"/>
              <w:spacing w:lineRule="auto" w:line="240" w:before="0" w:after="0"/>
              <w:jc w:val="both"/>
              <w:rPr>
                <w:rFonts w:ascii="Times New Roman" w:hAnsi="Times New Roman"/>
                <w:b/>
                <w:b/>
                <w:sz w:val="20"/>
                <w:szCs w:val="20"/>
              </w:rPr>
            </w:pPr>
            <w:r>
              <w:rPr>
                <w:rFonts w:ascii="Times New Roman" w:hAnsi="Times New Roman"/>
                <w:b/>
                <w:sz w:val="16"/>
                <w:szCs w:val="20"/>
              </w:rPr>
            </w:r>
          </w:p>
        </w:tc>
      </w:tr>
      <w:tr>
        <w:trPr>
          <w:trHeight w:val="108" w:hRule="exact"/>
        </w:trPr>
        <w:tc>
          <w:tcPr>
            <w:tcW w:w="4724" w:type="dxa"/>
            <w:gridSpan w:val="5"/>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sz w:val="16"/>
                <w:szCs w:val="20"/>
              </w:rPr>
            </w:r>
          </w:p>
        </w:tc>
        <w:tc>
          <w:tcPr>
            <w:tcW w:w="5669" w:type="dxa"/>
            <w:gridSpan w:val="6"/>
            <w:vMerge w:val="continue"/>
            <w:tcBorders/>
            <w:shd w:color="FFFFFF" w:fill="auto" w:val="clear"/>
          </w:tcPr>
          <w:p>
            <w:pPr>
              <w:pStyle w:val="Normal"/>
              <w:widowControl w:val="false"/>
              <w:bidi w:val="0"/>
              <w:spacing w:lineRule="auto" w:line="240" w:before="0" w:after="0"/>
              <w:jc w:val="both"/>
              <w:rPr>
                <w:rFonts w:ascii="Times New Roman" w:hAnsi="Times New Roman"/>
                <w:b/>
                <w:b/>
                <w:sz w:val="20"/>
                <w:szCs w:val="20"/>
              </w:rPr>
            </w:pPr>
            <w:r>
              <w:rPr>
                <w:rFonts w:ascii="Times New Roman" w:hAnsi="Times New Roman"/>
                <w:b/>
                <w:sz w:val="16"/>
                <w:szCs w:val="20"/>
              </w:rPr>
            </w:r>
          </w:p>
        </w:tc>
      </w:tr>
      <w:tr>
        <w:trPr>
          <w:trHeight w:val="300" w:hRule="exact"/>
        </w:trPr>
        <w:tc>
          <w:tcPr>
            <w:tcW w:w="4724" w:type="dxa"/>
            <w:gridSpan w:val="5"/>
            <w:tcBorders/>
            <w:shd w:color="FFFFFF" w:fill="auto" w:val="clear"/>
            <w:vAlign w:val="bottom"/>
          </w:tcPr>
          <w:p>
            <w:pPr>
              <w:pStyle w:val="Normal"/>
              <w:widowControl w:val="false"/>
              <w:bidi w:val="0"/>
              <w:spacing w:lineRule="auto" w:line="240" w:before="0" w:after="0"/>
              <w:jc w:val="left"/>
              <w:rPr>
                <w:rFonts w:ascii="Times New Roman" w:hAnsi="Times New Roman"/>
                <w:sz w:val="20"/>
                <w:szCs w:val="20"/>
              </w:rPr>
            </w:pPr>
            <w:r>
              <w:rPr>
                <w:rFonts w:ascii="Times New Roman" w:hAnsi="Times New Roman"/>
                <w:sz w:val="16"/>
                <w:szCs w:val="20"/>
              </w:rPr>
            </w:r>
          </w:p>
        </w:tc>
        <w:tc>
          <w:tcPr>
            <w:tcW w:w="5669" w:type="dxa"/>
            <w:gridSpan w:val="6"/>
            <w:vMerge w:val="continue"/>
            <w:tcBorders/>
            <w:shd w:color="FFFFFF" w:fill="auto" w:val="clear"/>
          </w:tcPr>
          <w:p>
            <w:pPr>
              <w:pStyle w:val="Normal"/>
              <w:widowControl w:val="false"/>
              <w:bidi w:val="0"/>
              <w:spacing w:lineRule="auto" w:line="240" w:before="0" w:after="0"/>
              <w:jc w:val="both"/>
              <w:rPr>
                <w:rFonts w:ascii="Times New Roman" w:hAnsi="Times New Roman"/>
                <w:b/>
                <w:b/>
                <w:sz w:val="20"/>
                <w:szCs w:val="20"/>
              </w:rPr>
            </w:pPr>
            <w:r>
              <w:rPr>
                <w:rFonts w:ascii="Times New Roman" w:hAnsi="Times New Roman"/>
                <w:b/>
                <w:sz w:val="16"/>
                <w:szCs w:val="20"/>
              </w:rPr>
            </w:r>
          </w:p>
        </w:tc>
      </w:tr>
      <w:tr>
        <w:trPr>
          <w:trHeight w:val="300" w:hRule="exact"/>
        </w:trPr>
        <w:tc>
          <w:tcPr>
            <w:tcW w:w="4724" w:type="dxa"/>
            <w:gridSpan w:val="5"/>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sz w:val="16"/>
                <w:szCs w:val="20"/>
              </w:rPr>
            </w:r>
          </w:p>
        </w:tc>
        <w:tc>
          <w:tcPr>
            <w:tcW w:w="5669" w:type="dxa"/>
            <w:gridSpan w:val="6"/>
            <w:vMerge w:val="continue"/>
            <w:tcBorders/>
            <w:shd w:color="FFFFFF" w:fill="auto" w:val="clear"/>
          </w:tcPr>
          <w:p>
            <w:pPr>
              <w:pStyle w:val="Normal"/>
              <w:widowControl w:val="false"/>
              <w:bidi w:val="0"/>
              <w:spacing w:lineRule="auto" w:line="240" w:before="0" w:after="0"/>
              <w:jc w:val="both"/>
              <w:rPr>
                <w:rFonts w:ascii="Times New Roman" w:hAnsi="Times New Roman"/>
                <w:b/>
                <w:b/>
                <w:sz w:val="20"/>
                <w:szCs w:val="20"/>
              </w:rPr>
            </w:pPr>
            <w:r>
              <w:rPr>
                <w:rFonts w:ascii="Times New Roman" w:hAnsi="Times New Roman"/>
                <w:b/>
                <w:sz w:val="16"/>
                <w:szCs w:val="20"/>
              </w:rPr>
            </w:r>
          </w:p>
        </w:tc>
      </w:tr>
      <w:tr>
        <w:trPr>
          <w:trHeight w:val="300" w:hRule="exact"/>
        </w:trPr>
        <w:tc>
          <w:tcPr>
            <w:tcW w:w="944" w:type="dxa"/>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sz w:val="16"/>
                <w:szCs w:val="20"/>
              </w:rPr>
            </w:r>
          </w:p>
        </w:tc>
        <w:tc>
          <w:tcPr>
            <w:tcW w:w="945" w:type="dxa"/>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sz w:val="16"/>
                <w:szCs w:val="20"/>
              </w:rPr>
            </w:r>
          </w:p>
        </w:tc>
        <w:tc>
          <w:tcPr>
            <w:tcW w:w="945" w:type="dxa"/>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sz w:val="16"/>
                <w:szCs w:val="20"/>
              </w:rPr>
            </w:r>
          </w:p>
        </w:tc>
        <w:tc>
          <w:tcPr>
            <w:tcW w:w="945" w:type="dxa"/>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sz w:val="16"/>
                <w:szCs w:val="20"/>
              </w:rPr>
            </w:r>
          </w:p>
        </w:tc>
        <w:tc>
          <w:tcPr>
            <w:tcW w:w="945" w:type="dxa"/>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sz w:val="16"/>
                <w:szCs w:val="20"/>
              </w:rPr>
            </w:r>
          </w:p>
        </w:tc>
        <w:tc>
          <w:tcPr>
            <w:tcW w:w="5669" w:type="dxa"/>
            <w:gridSpan w:val="6"/>
            <w:vMerge w:val="continue"/>
            <w:tcBorders/>
            <w:shd w:color="FFFFFF" w:fill="auto" w:val="clear"/>
          </w:tcPr>
          <w:p>
            <w:pPr>
              <w:pStyle w:val="Normal"/>
              <w:widowControl w:val="false"/>
              <w:bidi w:val="0"/>
              <w:spacing w:lineRule="auto" w:line="240" w:before="0" w:after="0"/>
              <w:jc w:val="both"/>
              <w:rPr>
                <w:rFonts w:ascii="Times New Roman" w:hAnsi="Times New Roman"/>
                <w:b/>
                <w:b/>
                <w:sz w:val="20"/>
                <w:szCs w:val="20"/>
              </w:rPr>
            </w:pPr>
            <w:r>
              <w:rPr>
                <w:rFonts w:ascii="Times New Roman" w:hAnsi="Times New Roman"/>
                <w:b/>
                <w:sz w:val="16"/>
                <w:szCs w:val="20"/>
              </w:rPr>
            </w:r>
          </w:p>
        </w:tc>
      </w:tr>
      <w:tr>
        <w:trPr>
          <w:trHeight w:val="300" w:hRule="exact"/>
        </w:trPr>
        <w:tc>
          <w:tcPr>
            <w:tcW w:w="4724" w:type="dxa"/>
            <w:gridSpan w:val="5"/>
            <w:tcBorders/>
            <w:shd w:color="FFFFFF" w:fill="auto" w:val="clear"/>
            <w:vAlign w:val="bottom"/>
          </w:tcPr>
          <w:p>
            <w:pPr>
              <w:pStyle w:val="Normal"/>
              <w:widowControl w:val="false"/>
              <w:bidi w:val="0"/>
              <w:spacing w:lineRule="auto" w:line="240" w:before="0" w:after="0"/>
              <w:jc w:val="both"/>
              <w:rPr>
                <w:rFonts w:ascii="Times New Roman" w:hAnsi="Times New Roman"/>
                <w:b/>
                <w:b/>
                <w:sz w:val="20"/>
                <w:szCs w:val="20"/>
              </w:rPr>
            </w:pPr>
            <w:r>
              <w:rPr>
                <w:rFonts w:ascii="Times New Roman" w:hAnsi="Times New Roman"/>
                <w:b/>
                <w:sz w:val="20"/>
                <w:szCs w:val="20"/>
              </w:rPr>
              <w:t>Финансовый управляющий</w:t>
            </w:r>
          </w:p>
        </w:tc>
        <w:tc>
          <w:tcPr>
            <w:tcW w:w="5669" w:type="dxa"/>
            <w:gridSpan w:val="6"/>
            <w:vMerge w:val="continue"/>
            <w:tcBorders/>
            <w:shd w:color="FFFFFF" w:fill="auto" w:val="clear"/>
          </w:tcPr>
          <w:p>
            <w:pPr>
              <w:pStyle w:val="Normal"/>
              <w:widowControl w:val="false"/>
              <w:bidi w:val="0"/>
              <w:spacing w:lineRule="auto" w:line="240" w:before="0" w:after="0"/>
              <w:jc w:val="both"/>
              <w:rPr>
                <w:rFonts w:ascii="Times New Roman" w:hAnsi="Times New Roman"/>
                <w:b/>
                <w:b/>
                <w:sz w:val="20"/>
                <w:szCs w:val="20"/>
              </w:rPr>
            </w:pPr>
            <w:r>
              <w:rPr>
                <w:rFonts w:ascii="Times New Roman" w:hAnsi="Times New Roman"/>
                <w:b/>
                <w:sz w:val="16"/>
                <w:szCs w:val="20"/>
              </w:rPr>
            </w:r>
          </w:p>
        </w:tc>
      </w:tr>
      <w:tr>
        <w:trPr>
          <w:trHeight w:val="300" w:hRule="exact"/>
        </w:trPr>
        <w:tc>
          <w:tcPr>
            <w:tcW w:w="4724" w:type="dxa"/>
            <w:gridSpan w:val="5"/>
            <w:tcBorders/>
            <w:shd w:color="FFFFFF" w:fill="auto" w:val="clear"/>
            <w:vAlign w:val="bottom"/>
          </w:tcPr>
          <w:p>
            <w:pPr>
              <w:pStyle w:val="Normal"/>
              <w:widowControl w:val="false"/>
              <w:bidi w:val="0"/>
              <w:spacing w:lineRule="auto" w:line="240" w:before="0" w:after="0"/>
              <w:jc w:val="both"/>
              <w:rPr>
                <w:rFonts w:ascii="Times New Roman" w:hAnsi="Times New Roman"/>
                <w:b/>
                <w:b/>
                <w:sz w:val="20"/>
                <w:szCs w:val="20"/>
              </w:rPr>
            </w:pPr>
            <w:r>
              <w:rPr>
                <w:rFonts w:ascii="Times New Roman" w:hAnsi="Times New Roman"/>
                <w:b/>
                <w:sz w:val="16"/>
                <w:szCs w:val="20"/>
              </w:rPr>
            </w:r>
          </w:p>
        </w:tc>
        <w:tc>
          <w:tcPr>
            <w:tcW w:w="949" w:type="dxa"/>
            <w:tcBorders/>
            <w:shd w:color="FFFFFF" w:fill="auto" w:val="clear"/>
          </w:tcPr>
          <w:p>
            <w:pPr>
              <w:pStyle w:val="Normal"/>
              <w:widowControl w:val="false"/>
              <w:bidi w:val="0"/>
              <w:spacing w:lineRule="auto" w:line="240" w:before="0" w:after="0"/>
              <w:jc w:val="both"/>
              <w:rPr>
                <w:rFonts w:ascii="Times New Roman" w:hAnsi="Times New Roman"/>
                <w:b/>
                <w:b/>
                <w:sz w:val="20"/>
                <w:szCs w:val="20"/>
              </w:rPr>
            </w:pPr>
            <w:r>
              <w:rPr>
                <w:rFonts w:ascii="Times New Roman" w:hAnsi="Times New Roman"/>
                <w:b/>
                <w:sz w:val="16"/>
                <w:szCs w:val="20"/>
              </w:rPr>
            </w:r>
          </w:p>
        </w:tc>
        <w:tc>
          <w:tcPr>
            <w:tcW w:w="948" w:type="dxa"/>
            <w:tcBorders/>
            <w:shd w:color="FFFFFF" w:fill="auto" w:val="clear"/>
          </w:tcPr>
          <w:p>
            <w:pPr>
              <w:pStyle w:val="Normal"/>
              <w:widowControl w:val="false"/>
              <w:bidi w:val="0"/>
              <w:spacing w:lineRule="auto" w:line="240" w:before="0" w:after="0"/>
              <w:jc w:val="both"/>
              <w:rPr>
                <w:rFonts w:ascii="Times New Roman" w:hAnsi="Times New Roman"/>
                <w:b/>
                <w:b/>
                <w:sz w:val="20"/>
                <w:szCs w:val="20"/>
              </w:rPr>
            </w:pPr>
            <w:r>
              <w:rPr>
                <w:rFonts w:ascii="Times New Roman" w:hAnsi="Times New Roman"/>
                <w:b/>
                <w:sz w:val="16"/>
                <w:szCs w:val="20"/>
              </w:rPr>
            </w:r>
          </w:p>
        </w:tc>
        <w:tc>
          <w:tcPr>
            <w:tcW w:w="945" w:type="dxa"/>
            <w:tcBorders/>
            <w:shd w:color="FFFFFF" w:fill="auto" w:val="clear"/>
          </w:tcPr>
          <w:p>
            <w:pPr>
              <w:pStyle w:val="Normal"/>
              <w:widowControl w:val="false"/>
              <w:bidi w:val="0"/>
              <w:spacing w:lineRule="auto" w:line="240" w:before="0" w:after="0"/>
              <w:jc w:val="both"/>
              <w:rPr>
                <w:rFonts w:ascii="Times New Roman" w:hAnsi="Times New Roman"/>
                <w:b/>
                <w:b/>
                <w:sz w:val="20"/>
                <w:szCs w:val="20"/>
              </w:rPr>
            </w:pPr>
            <w:r>
              <w:rPr>
                <w:rFonts w:ascii="Times New Roman" w:hAnsi="Times New Roman"/>
                <w:b/>
                <w:sz w:val="16"/>
                <w:szCs w:val="20"/>
              </w:rPr>
            </w:r>
          </w:p>
        </w:tc>
        <w:tc>
          <w:tcPr>
            <w:tcW w:w="946" w:type="dxa"/>
            <w:tcBorders/>
            <w:shd w:color="FFFFFF" w:fill="auto" w:val="clear"/>
          </w:tcPr>
          <w:p>
            <w:pPr>
              <w:pStyle w:val="Normal"/>
              <w:widowControl w:val="false"/>
              <w:bidi w:val="0"/>
              <w:spacing w:lineRule="auto" w:line="240" w:before="0" w:after="0"/>
              <w:jc w:val="both"/>
              <w:rPr>
                <w:rFonts w:ascii="Times New Roman" w:hAnsi="Times New Roman"/>
                <w:b/>
                <w:b/>
                <w:sz w:val="20"/>
                <w:szCs w:val="20"/>
              </w:rPr>
            </w:pPr>
            <w:r>
              <w:rPr>
                <w:rFonts w:ascii="Times New Roman" w:hAnsi="Times New Roman"/>
                <w:b/>
                <w:sz w:val="16"/>
                <w:szCs w:val="20"/>
              </w:rPr>
            </w:r>
          </w:p>
        </w:tc>
        <w:tc>
          <w:tcPr>
            <w:tcW w:w="947" w:type="dxa"/>
            <w:tcBorders/>
            <w:shd w:color="FFFFFF" w:fill="auto" w:val="clear"/>
          </w:tcPr>
          <w:p>
            <w:pPr>
              <w:pStyle w:val="Normal"/>
              <w:widowControl w:val="false"/>
              <w:bidi w:val="0"/>
              <w:spacing w:lineRule="auto" w:line="240" w:before="0" w:after="0"/>
              <w:jc w:val="both"/>
              <w:rPr>
                <w:rFonts w:ascii="Times New Roman" w:hAnsi="Times New Roman"/>
                <w:b/>
                <w:b/>
                <w:sz w:val="20"/>
                <w:szCs w:val="20"/>
              </w:rPr>
            </w:pPr>
            <w:r>
              <w:rPr>
                <w:rFonts w:ascii="Times New Roman" w:hAnsi="Times New Roman"/>
                <w:b/>
                <w:sz w:val="16"/>
                <w:szCs w:val="20"/>
              </w:rPr>
            </w:r>
          </w:p>
        </w:tc>
        <w:tc>
          <w:tcPr>
            <w:tcW w:w="934" w:type="dxa"/>
            <w:tcBorders/>
            <w:shd w:color="FFFFFF" w:fill="auto" w:val="clear"/>
          </w:tcPr>
          <w:p>
            <w:pPr>
              <w:pStyle w:val="Normal"/>
              <w:widowControl w:val="false"/>
              <w:bidi w:val="0"/>
              <w:spacing w:lineRule="auto" w:line="240" w:before="0" w:after="0"/>
              <w:jc w:val="both"/>
              <w:rPr>
                <w:rFonts w:ascii="Times New Roman" w:hAnsi="Times New Roman"/>
                <w:b/>
                <w:b/>
                <w:sz w:val="20"/>
                <w:szCs w:val="20"/>
              </w:rPr>
            </w:pPr>
            <w:r>
              <w:rPr>
                <w:rFonts w:ascii="Times New Roman" w:hAnsi="Times New Roman"/>
                <w:b/>
                <w:sz w:val="16"/>
                <w:szCs w:val="20"/>
              </w:rPr>
            </w:r>
          </w:p>
        </w:tc>
      </w:tr>
      <w:tr>
        <w:trPr>
          <w:trHeight w:val="69" w:hRule="exact"/>
        </w:trPr>
        <w:tc>
          <w:tcPr>
            <w:tcW w:w="4724" w:type="dxa"/>
            <w:gridSpan w:val="5"/>
            <w:tcBorders/>
            <w:shd w:color="FFFFFF" w:fill="auto" w:val="clear"/>
            <w:vAlign w:val="bottom"/>
          </w:tcPr>
          <w:p>
            <w:pPr>
              <w:pStyle w:val="Normal"/>
              <w:widowControl w:val="false"/>
              <w:bidi w:val="0"/>
              <w:spacing w:lineRule="auto" w:line="240" w:before="0" w:after="0"/>
              <w:jc w:val="both"/>
              <w:rPr>
                <w:rFonts w:ascii="Times New Roman" w:hAnsi="Times New Roman"/>
                <w:b/>
                <w:b/>
                <w:sz w:val="20"/>
                <w:szCs w:val="20"/>
              </w:rPr>
            </w:pPr>
            <w:r>
              <w:rPr>
                <w:rFonts w:ascii="Times New Roman" w:hAnsi="Times New Roman"/>
                <w:b/>
                <w:sz w:val="16"/>
                <w:szCs w:val="20"/>
              </w:rPr>
            </w:r>
          </w:p>
        </w:tc>
        <w:tc>
          <w:tcPr>
            <w:tcW w:w="5669" w:type="dxa"/>
            <w:gridSpan w:val="6"/>
            <w:tcBorders/>
            <w:shd w:color="FFFFFF" w:fill="auto" w:val="clear"/>
            <w:vAlign w:val="bottom"/>
          </w:tcPr>
          <w:p>
            <w:pPr>
              <w:pStyle w:val="Normal"/>
              <w:widowControl w:val="false"/>
              <w:bidi w:val="0"/>
              <w:spacing w:lineRule="auto" w:line="240" w:before="0" w:after="0"/>
              <w:jc w:val="both"/>
              <w:rPr>
                <w:rFonts w:ascii="Times New Roman" w:hAnsi="Times New Roman"/>
                <w:b/>
                <w:b/>
                <w:sz w:val="20"/>
                <w:szCs w:val="20"/>
              </w:rPr>
            </w:pPr>
            <w:r>
              <w:rPr>
                <w:sz w:val="16"/>
              </w:rPr>
            </w:r>
          </w:p>
        </w:tc>
      </w:tr>
    </w:tbl>
    <w:sectPr>
      <w:type w:val="nextPage"/>
      <w:pgSz w:w="11906" w:h="16838"/>
      <w:pgMar w:left="567" w:right="567" w:header="0" w:top="567" w:footer="0" w:bottom="567" w:gutter="0"/>
      <w:pgNumType w:fmt="decimal"/>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Liberation Sans">
    <w:altName w:val="Arial"/>
    <w:charset w:val="cc"/>
    <w:family w:val="roman"/>
    <w:pitch w:val="variable"/>
  </w:font>
  <w:font w:name="Times New Roman">
    <w:charset w:val="cc"/>
    <w:family w:val="roman"/>
    <w:pitch w:val="variable"/>
  </w:font>
  <w:font w:name="Arial">
    <w:charset w:val="cc"/>
    <w:family w:val="roman"/>
    <w:pitch w:val="variable"/>
  </w:font>
</w:fonts>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NSimSun" w:cs="Arial"/>
        <w:kern w:val="2"/>
        <w:szCs w:val="24"/>
        <w:lang w:val="ru-RU" w:eastAsia="zh-CN" w:bidi="hi-IN"/>
      </w:rPr>
    </w:rPrDefault>
    <w:pPrDefault>
      <w:pPr>
        <w:suppressAutoHyphens w:val="true"/>
      </w:pPr>
    </w:pPrDefault>
  </w:docDefaults>
  <w:style w:type="paragraph" w:styleId="Normal">
    <w:name w:val="Normal"/>
    <w:qFormat/>
    <w:pPr>
      <w:widowControl w:val="false"/>
      <w:suppressAutoHyphens w:val="true"/>
      <w:bidi w:val="0"/>
      <w:spacing w:before="0" w:after="0"/>
      <w:jc w:val="left"/>
    </w:pPr>
    <w:rPr>
      <w:rFonts w:ascii="Calibri" w:hAnsi="Calibri" w:eastAsia="NSimSun" w:cs="Arial"/>
      <w:color w:val="auto"/>
      <w:kern w:val="2"/>
      <w:sz w:val="22"/>
      <w:szCs w:val="24"/>
      <w:lang w:val="ru-RU" w:eastAsia="zh-CN" w:bidi="hi-IN"/>
    </w:rPr>
  </w:style>
  <w:style w:type="paragraph" w:styleId="Style14">
    <w:name w:val="Заголовок"/>
    <w:basedOn w:val="Normal"/>
    <w:next w:val="Style15"/>
    <w:qFormat/>
    <w:pPr>
      <w:keepNext w:val="true"/>
      <w:spacing w:before="240" w:after="120"/>
    </w:pPr>
    <w:rPr>
      <w:rFonts w:ascii="Liberation Sans" w:hAnsi="Liberation Sans" w:eastAsia="Microsoft YaHei" w:cs="Arial"/>
      <w:sz w:val="28"/>
      <w:szCs w:val="28"/>
    </w:rPr>
  </w:style>
  <w:style w:type="paragraph" w:styleId="Style15">
    <w:name w:val="Body Text"/>
    <w:basedOn w:val="Normal"/>
    <w:pPr>
      <w:spacing w:lineRule="auto" w:line="276" w:before="0" w:after="140"/>
    </w:pPr>
    <w:rPr/>
  </w:style>
  <w:style w:type="paragraph" w:styleId="Style16">
    <w:name w:val="List"/>
    <w:basedOn w:val="Style15"/>
    <w:pPr/>
    <w:rPr>
      <w:rFonts w:cs="Arial"/>
    </w:rPr>
  </w:style>
  <w:style w:type="paragraph" w:styleId="Style17">
    <w:name w:val="Caption"/>
    <w:basedOn w:val="Normal"/>
    <w:qFormat/>
    <w:pPr>
      <w:suppressLineNumbers/>
      <w:spacing w:before="120" w:after="120"/>
    </w:pPr>
    <w:rPr>
      <w:rFonts w:cs="Arial"/>
      <w:i/>
      <w:iCs/>
      <w:sz w:val="24"/>
      <w:szCs w:val="24"/>
    </w:rPr>
  </w:style>
  <w:style w:type="paragraph" w:styleId="Style18">
    <w:name w:val="Указатель"/>
    <w:basedOn w:val="Normal"/>
    <w:qFormat/>
    <w:pPr>
      <w:suppressLineNumbers/>
    </w:pPr>
    <w:rPr>
      <w:rFonts w:cs="Arial"/>
    </w:rPr>
  </w:style>
  <w:style w:type="table" w:styleId="TableStyle0">
    <w:name w:val="TableStyle0"/>
    <w:pPr>
      <w:spacing w:after="0" w:line="240" w:lineRule="auto"/>
    </w:pPr>
    <w:rPr>
      <w:sz w:val="16"/>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3</TotalTime>
  <Application>LibreOffice/7.1.5.2$Windows_X86_64 LibreOffice_project/85f04e9f809797b8199d13c421bd8a2b025d52b5</Application>
  <AppVersion>15.0000</AppVersion>
  <Pages>3</Pages>
  <Words>1015</Words>
  <Characters>7082</Characters>
  <CharactersWithSpaces>8532</CharactersWithSpaces>
  <Paragraphs>56</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ru-RU</dc:language>
  <cp:lastModifiedBy/>
  <dcterms:modified xsi:type="dcterms:W3CDTF">2026-04-10T11:34:18Z</dcterms:modified>
  <cp:revision>7</cp:revision>
  <dc:subject/>
  <dc:title/>
</cp:coreProperties>
</file>

<file path=docProps/custom.xml><?xml version="1.0" encoding="utf-8"?>
<Properties xmlns="http://schemas.openxmlformats.org/officeDocument/2006/custom-properties" xmlns:vt="http://schemas.openxmlformats.org/officeDocument/2006/docPropsVTypes"/>
</file>