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Закрытое акционерное общество «Альянс-Лизинг»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сообщает о проведении электронного аукциона, открытого по составу участников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 по форме подачи предложений по цене с применением метода повышения начальной цены, на электронной торговой площадке АО «Российский аукционный дом»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 в сети интернет </w:t>
      </w:r>
      <w:hyperlink r:id="rId6">
        <w:r>
          <w:rPr>
            <w:rFonts w:ascii="Times New Roman" w:hAnsi="Times New Roman"/>
            <w:b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Открытый электронный аукцион состоится </w:t>
      </w:r>
      <w:r w:rsidR="00CE11F7">
        <w:rPr>
          <w:rFonts w:ascii="Times New Roman" w:hAnsi="Times New Roman"/>
          <w:b/>
          <w:sz w:val="24"/>
          <w:szCs w:val="24"/>
          <w:highlight w:val="yellow"/>
        </w:rPr>
        <w:t>22</w:t>
      </w:r>
      <w:r w:rsidR="002C24BA">
        <w:rPr>
          <w:rFonts w:ascii="Times New Roman" w:hAnsi="Times New Roman"/>
          <w:b/>
          <w:sz w:val="24"/>
          <w:szCs w:val="24"/>
          <w:highlight w:val="yellow"/>
        </w:rPr>
        <w:t>.05</w:t>
      </w:r>
      <w:r w:rsidR="0073160F">
        <w:rPr>
          <w:rFonts w:ascii="Times New Roman" w:hAnsi="Times New Roman"/>
          <w:b/>
          <w:sz w:val="24"/>
          <w:szCs w:val="24"/>
          <w:highlight w:val="yellow"/>
        </w:rPr>
        <w:t>.2026</w:t>
      </w:r>
      <w:r>
        <w:rPr>
          <w:rFonts w:ascii="Times New Roman" w:hAnsi="Times New Roman"/>
          <w:b/>
          <w:sz w:val="24"/>
          <w:szCs w:val="24"/>
          <w:highlight w:val="yellow"/>
        </w:rPr>
        <w:t xml:space="preserve"> в 1</w:t>
      </w:r>
      <w:r w:rsidR="00CE11F7">
        <w:rPr>
          <w:rFonts w:ascii="Times New Roman" w:hAnsi="Times New Roman"/>
          <w:b/>
          <w:sz w:val="24"/>
          <w:szCs w:val="24"/>
          <w:highlight w:val="yellow"/>
        </w:rPr>
        <w:t>5</w:t>
      </w:r>
      <w:r>
        <w:rPr>
          <w:rFonts w:ascii="Times New Roman" w:hAnsi="Times New Roman"/>
          <w:b/>
          <w:sz w:val="24"/>
          <w:szCs w:val="24"/>
          <w:highlight w:val="yellow"/>
        </w:rPr>
        <w:t>:00</w:t>
      </w:r>
      <w:r>
        <w:rPr>
          <w:rFonts w:ascii="Times New Roman" w:hAnsi="Times New Roman"/>
          <w:b/>
          <w:sz w:val="24"/>
          <w:szCs w:val="24"/>
        </w:rPr>
        <w:t xml:space="preserve"> час. 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Организатор торгов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Закрытое акционерное общество «Альянс-Лизинг»</w:t>
      </w:r>
      <w:r>
        <w:rPr>
          <w:rFonts w:ascii="Times New Roman" w:hAnsi="Times New Roman"/>
          <w:sz w:val="24"/>
          <w:szCs w:val="24"/>
        </w:rPr>
        <w:t xml:space="preserve">, ИНН 7825496985, ОГРН 1037843023712, КПП 781401001, адрес: 197342, Санкт-Петербург, </w:t>
      </w:r>
      <w:proofErr w:type="spellStart"/>
      <w:r>
        <w:rPr>
          <w:rFonts w:ascii="Times New Roman" w:hAnsi="Times New Roman"/>
          <w:sz w:val="24"/>
          <w:szCs w:val="24"/>
        </w:rPr>
        <w:t>вн.тер.г</w:t>
      </w:r>
      <w:proofErr w:type="spellEnd"/>
      <w:r>
        <w:rPr>
          <w:rFonts w:ascii="Times New Roman" w:hAnsi="Times New Roman"/>
          <w:sz w:val="24"/>
          <w:szCs w:val="24"/>
        </w:rPr>
        <w:t xml:space="preserve">. муниципальный округ </w:t>
      </w:r>
      <w:proofErr w:type="spellStart"/>
      <w:r>
        <w:rPr>
          <w:rFonts w:ascii="Times New Roman" w:hAnsi="Times New Roman"/>
          <w:sz w:val="24"/>
          <w:szCs w:val="24"/>
        </w:rPr>
        <w:t>Ланское</w:t>
      </w:r>
      <w:proofErr w:type="spellEnd"/>
      <w:r>
        <w:rPr>
          <w:rFonts w:ascii="Times New Roman" w:hAnsi="Times New Roman"/>
          <w:sz w:val="24"/>
          <w:szCs w:val="24"/>
        </w:rPr>
        <w:t>, наб. Черной речки, д. 47, стр. 2, пом. 1-Н, оф. 372, тел. (812) 702-50-31.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Прием заявок осуществляется с </w:t>
      </w:r>
      <w:r w:rsidR="00CE11F7">
        <w:rPr>
          <w:rFonts w:ascii="Times New Roman" w:hAnsi="Times New Roman"/>
          <w:b/>
          <w:sz w:val="24"/>
          <w:szCs w:val="24"/>
        </w:rPr>
        <w:t>16</w:t>
      </w:r>
      <w:r w:rsidR="002C24BA">
        <w:rPr>
          <w:rFonts w:ascii="Times New Roman" w:hAnsi="Times New Roman"/>
          <w:b/>
          <w:sz w:val="24"/>
          <w:szCs w:val="24"/>
        </w:rPr>
        <w:t>.04</w:t>
      </w:r>
      <w:r w:rsidR="00F8782E">
        <w:rPr>
          <w:rFonts w:ascii="Times New Roman" w:hAnsi="Times New Roman"/>
          <w:b/>
          <w:sz w:val="24"/>
          <w:szCs w:val="24"/>
        </w:rPr>
        <w:t>.2026</w:t>
      </w:r>
      <w:r>
        <w:rPr>
          <w:rFonts w:ascii="Times New Roman" w:hAnsi="Times New Roman"/>
          <w:b/>
          <w:sz w:val="24"/>
          <w:szCs w:val="24"/>
        </w:rPr>
        <w:t xml:space="preserve"> с 09:00 час. по </w:t>
      </w:r>
      <w:r w:rsidR="00CE11F7">
        <w:rPr>
          <w:rFonts w:ascii="Times New Roman" w:hAnsi="Times New Roman"/>
          <w:b/>
          <w:sz w:val="24"/>
          <w:szCs w:val="24"/>
        </w:rPr>
        <w:t>18</w:t>
      </w:r>
      <w:r w:rsidR="002C24BA">
        <w:rPr>
          <w:rFonts w:ascii="Times New Roman" w:hAnsi="Times New Roman"/>
          <w:b/>
          <w:sz w:val="24"/>
          <w:szCs w:val="24"/>
        </w:rPr>
        <w:t>.05</w:t>
      </w:r>
      <w:r>
        <w:rPr>
          <w:rFonts w:ascii="Times New Roman" w:hAnsi="Times New Roman"/>
          <w:b/>
          <w:sz w:val="24"/>
          <w:szCs w:val="24"/>
        </w:rPr>
        <w:t>.202</w:t>
      </w:r>
      <w:r w:rsidR="007316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до 23:59 час.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 электронной торговой площадке АО «Российский аукционный дом» 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 в сети интернет </w:t>
      </w:r>
      <w:hyperlink r:id="rId7">
        <w:r>
          <w:rPr>
            <w:rFonts w:ascii="Times New Roman" w:hAnsi="Times New Roman"/>
            <w:b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Задаток по аукциону должен поступить на счет Организатора торгов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не позднее </w:t>
      </w:r>
      <w:r w:rsidR="00CE11F7">
        <w:rPr>
          <w:rFonts w:ascii="Times New Roman" w:hAnsi="Times New Roman"/>
          <w:b/>
          <w:sz w:val="24"/>
          <w:szCs w:val="24"/>
        </w:rPr>
        <w:t>18</w:t>
      </w:r>
      <w:r w:rsidR="002C24BA">
        <w:rPr>
          <w:rFonts w:ascii="Times New Roman" w:hAnsi="Times New Roman"/>
          <w:b/>
          <w:sz w:val="24"/>
          <w:szCs w:val="24"/>
        </w:rPr>
        <w:t>.05</w:t>
      </w:r>
      <w:r w:rsidR="0073160F">
        <w:rPr>
          <w:rFonts w:ascii="Times New Roman" w:hAnsi="Times New Roman"/>
          <w:b/>
          <w:sz w:val="24"/>
          <w:szCs w:val="24"/>
        </w:rPr>
        <w:t>.2026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Определение участников аукциона состоится </w:t>
      </w:r>
      <w:r w:rsidR="00CE11F7">
        <w:rPr>
          <w:rFonts w:ascii="Times New Roman" w:hAnsi="Times New Roman"/>
          <w:b/>
          <w:sz w:val="24"/>
          <w:szCs w:val="24"/>
        </w:rPr>
        <w:t>21</w:t>
      </w:r>
      <w:r w:rsidR="002C24BA">
        <w:rPr>
          <w:rFonts w:ascii="Times New Roman" w:hAnsi="Times New Roman"/>
          <w:b/>
          <w:sz w:val="24"/>
          <w:szCs w:val="24"/>
        </w:rPr>
        <w:t>.05</w:t>
      </w:r>
      <w:r>
        <w:rPr>
          <w:rFonts w:ascii="Times New Roman" w:hAnsi="Times New Roman"/>
          <w:b/>
          <w:sz w:val="24"/>
          <w:szCs w:val="24"/>
        </w:rPr>
        <w:t>.202</w:t>
      </w:r>
      <w:r w:rsidR="007316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(Указанное в настоящем информационном сообщении время – Московское)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аукциона:</w:t>
      </w:r>
    </w:p>
    <w:p w:rsidR="00CE11F7" w:rsidRDefault="00443564" w:rsidP="004F3150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CE11F7" w:rsidRPr="00CE11F7">
        <w:rPr>
          <w:rFonts w:ascii="Times New Roman" w:hAnsi="Times New Roman"/>
          <w:b/>
        </w:rPr>
        <w:t xml:space="preserve">Автомобиль LADA VESTA </w:t>
      </w:r>
      <w:r w:rsidR="00CE11F7">
        <w:rPr>
          <w:rFonts w:ascii="Times New Roman" w:hAnsi="Times New Roman"/>
          <w:b/>
        </w:rPr>
        <w:t xml:space="preserve">седан, </w:t>
      </w:r>
      <w:r w:rsidR="00CE11F7" w:rsidRPr="00CE11F7">
        <w:rPr>
          <w:rFonts w:ascii="Times New Roman" w:hAnsi="Times New Roman"/>
          <w:b/>
        </w:rPr>
        <w:t xml:space="preserve">VIN XTAGFL110R0787346, 2024 </w:t>
      </w:r>
      <w:proofErr w:type="spellStart"/>
      <w:r w:rsidR="00CE11F7" w:rsidRPr="00CE11F7">
        <w:rPr>
          <w:rFonts w:ascii="Times New Roman" w:hAnsi="Times New Roman"/>
          <w:b/>
        </w:rPr>
        <w:t>г.в</w:t>
      </w:r>
      <w:proofErr w:type="spellEnd"/>
      <w:r w:rsidR="00CE11F7" w:rsidRPr="00CE11F7">
        <w:rPr>
          <w:rFonts w:ascii="Times New Roman" w:hAnsi="Times New Roman"/>
          <w:b/>
        </w:rPr>
        <w:t>., Пробег: 25940 км</w:t>
      </w:r>
      <w:r w:rsidR="002C24BA" w:rsidRPr="002C24BA">
        <w:rPr>
          <w:rFonts w:ascii="Times New Roman" w:hAnsi="Times New Roman"/>
          <w:b/>
        </w:rPr>
        <w:t xml:space="preserve">, </w:t>
      </w:r>
      <w:r w:rsidR="0084792F" w:rsidRPr="0084792F">
        <w:rPr>
          <w:rFonts w:ascii="Times New Roman" w:hAnsi="Times New Roman"/>
          <w:b/>
        </w:rPr>
        <w:t xml:space="preserve">объем двигателя </w:t>
      </w:r>
      <w:r w:rsidR="00CE11F7">
        <w:rPr>
          <w:rFonts w:ascii="Times New Roman" w:hAnsi="Times New Roman"/>
          <w:b/>
        </w:rPr>
        <w:t xml:space="preserve">1,6л, </w:t>
      </w:r>
      <w:r w:rsidR="002C24B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>
        <w:rPr>
          <w:rFonts w:ascii="Times New Roman" w:hAnsi="Times New Roman"/>
          <w:b/>
        </w:rPr>
        <w:t xml:space="preserve"> </w:t>
      </w:r>
      <w:r w:rsidR="00CE11F7" w:rsidRPr="00CE11F7">
        <w:rPr>
          <w:rFonts w:ascii="Times New Roman" w:hAnsi="Times New Roman"/>
          <w:b/>
        </w:rPr>
        <w:t>№ 19494-ЛА-КЗ-ДКП от 08.05.2024</w:t>
      </w:r>
      <w:r w:rsidR="004F3150">
        <w:rPr>
          <w:rFonts w:ascii="Times New Roman" w:hAnsi="Times New Roman"/>
          <w:b/>
        </w:rPr>
        <w:t xml:space="preserve">. </w:t>
      </w:r>
    </w:p>
    <w:p w:rsidR="004F3150" w:rsidRDefault="004F3150" w:rsidP="006E2D9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Комплектация автомобиля: COMFORT, </w:t>
      </w:r>
      <w:r w:rsidR="00282542">
        <w:rPr>
          <w:rFonts w:ascii="Times New Roman" w:hAnsi="Times New Roman" w:cs="Times New Roman"/>
        </w:rPr>
        <w:t>двигатель</w:t>
      </w:r>
      <w:r w:rsidRPr="00282542">
        <w:rPr>
          <w:rFonts w:ascii="Times New Roman" w:hAnsi="Times New Roman" w:cs="Times New Roman"/>
        </w:rPr>
        <w:t xml:space="preserve"> </w:t>
      </w:r>
      <w:r w:rsidR="00282542">
        <w:rPr>
          <w:rFonts w:ascii="Times New Roman" w:hAnsi="Times New Roman" w:cs="Times New Roman"/>
        </w:rPr>
        <w:t>и</w:t>
      </w:r>
      <w:r w:rsidRPr="00282542">
        <w:rPr>
          <w:rFonts w:ascii="Times New Roman" w:hAnsi="Times New Roman" w:cs="Times New Roman"/>
        </w:rPr>
        <w:t xml:space="preserve"> КПП: 1.6 л (106 </w:t>
      </w:r>
      <w:proofErr w:type="spellStart"/>
      <w:r w:rsidRPr="00282542">
        <w:rPr>
          <w:rFonts w:ascii="Times New Roman" w:hAnsi="Times New Roman" w:cs="Times New Roman"/>
        </w:rPr>
        <w:t>л.с</w:t>
      </w:r>
      <w:proofErr w:type="spellEnd"/>
      <w:r w:rsidRPr="00282542">
        <w:rPr>
          <w:rFonts w:ascii="Times New Roman" w:hAnsi="Times New Roman" w:cs="Times New Roman"/>
        </w:rPr>
        <w:t xml:space="preserve">.), 5МТ,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ЦВЕТ КУЗОВА: Белый "Ледниковый" (221).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proofErr w:type="spellStart"/>
      <w:r w:rsidRPr="00282542">
        <w:rPr>
          <w:rFonts w:ascii="Times New Roman" w:hAnsi="Times New Roman" w:cs="Times New Roman"/>
        </w:rPr>
        <w:t>Электроусилитель</w:t>
      </w:r>
      <w:proofErr w:type="spellEnd"/>
      <w:r w:rsidRPr="00282542">
        <w:rPr>
          <w:rFonts w:ascii="Times New Roman" w:hAnsi="Times New Roman" w:cs="Times New Roman"/>
        </w:rPr>
        <w:t xml:space="preserve"> рулевого управления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Плафон для освещения второго ряда сидений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Обивка сидений комбинированная ткань/</w:t>
      </w:r>
      <w:proofErr w:type="spellStart"/>
      <w:r w:rsidRPr="00282542">
        <w:rPr>
          <w:rFonts w:ascii="Times New Roman" w:hAnsi="Times New Roman" w:cs="Times New Roman"/>
        </w:rPr>
        <w:t>экокожа</w:t>
      </w:r>
      <w:proofErr w:type="spellEnd"/>
      <w:r w:rsidRPr="00282542">
        <w:rPr>
          <w:rFonts w:ascii="Times New Roman" w:hAnsi="Times New Roman" w:cs="Times New Roman"/>
        </w:rPr>
        <w:t xml:space="preserve">. Цвет черный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Панель приборов. Цвет черный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Заднее сиденье с раскладной спинкой в пропорции 60/40 Розетка 12V на центральной консоли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ИНТЕРЬЕР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Бортовой компьютер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Антиблокировочная система с электронным распределением тормозных сил (ABS, EBD)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Экологический класс Евро 5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Защита двигателя и подкапотного пространства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Система вспомогательного торможения (- BAS)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Дисковые тормоза передних и задних колес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LED задние фонари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Блокировка задних дверей от открывания детьми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proofErr w:type="spellStart"/>
      <w:r w:rsidRPr="00282542">
        <w:rPr>
          <w:rFonts w:ascii="Times New Roman" w:hAnsi="Times New Roman" w:cs="Times New Roman"/>
        </w:rPr>
        <w:t>Иммобилайзер</w:t>
      </w:r>
      <w:proofErr w:type="spellEnd"/>
      <w:r w:rsidRPr="00282542">
        <w:rPr>
          <w:rFonts w:ascii="Times New Roman" w:hAnsi="Times New Roman" w:cs="Times New Roman"/>
        </w:rPr>
        <w:t xml:space="preserve">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Автоматическое включение аварийной сигнализации при экстренном торможении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LED дневные ходовые огни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Автоматическое запирание дверей при начале движения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Система экстренного оповещения ЭРА-ГЛОНАСС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LED фары (ближний и дальний свет)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Крепления для детских сидений ISOFIX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lastRenderedPageBreak/>
        <w:t xml:space="preserve">БЕЗОПАСНОСТЬ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Подголовники задних сидений 2 шт.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Регулируемая по высоте и по вылету рулевая колонка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Центральный замок с дистанционным управлением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proofErr w:type="spellStart"/>
      <w:r w:rsidRPr="00282542">
        <w:rPr>
          <w:rFonts w:ascii="Times New Roman" w:hAnsi="Times New Roman" w:cs="Times New Roman"/>
        </w:rPr>
        <w:t>Электростеклоподъемники</w:t>
      </w:r>
      <w:proofErr w:type="spellEnd"/>
      <w:r w:rsidRPr="00282542">
        <w:rPr>
          <w:rFonts w:ascii="Times New Roman" w:hAnsi="Times New Roman" w:cs="Times New Roman"/>
        </w:rPr>
        <w:t xml:space="preserve"> задних дверей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Сиденье водителя с регулировкой по высоте и поясничной поддержкой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Электропривод и обогрев наружных зеркал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proofErr w:type="spellStart"/>
      <w:r w:rsidRPr="00282542">
        <w:rPr>
          <w:rFonts w:ascii="Times New Roman" w:hAnsi="Times New Roman" w:cs="Times New Roman"/>
        </w:rPr>
        <w:t>Электростеклоподъемники</w:t>
      </w:r>
      <w:proofErr w:type="spellEnd"/>
      <w:r w:rsidRPr="00282542">
        <w:rPr>
          <w:rFonts w:ascii="Times New Roman" w:hAnsi="Times New Roman" w:cs="Times New Roman"/>
        </w:rPr>
        <w:t xml:space="preserve"> передних дверей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Кондиционер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МУЛЬТИМЕДИА: радио, Антенна ''акулий плавник''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ЭКСТЕРЬЕР</w:t>
      </w:r>
    </w:p>
    <w:p w:rsidR="00CE11F7" w:rsidRPr="00282542" w:rsidRDefault="00CE11F7" w:rsidP="00CE11F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82542">
        <w:rPr>
          <w:rFonts w:ascii="Times New Roman" w:hAnsi="Times New Roman"/>
        </w:rPr>
        <w:t xml:space="preserve">Наружные зеркала с боковыми указателями поворота </w:t>
      </w:r>
    </w:p>
    <w:p w:rsidR="0084792F" w:rsidRPr="00282542" w:rsidRDefault="00CE11F7" w:rsidP="00CE11F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82542">
        <w:rPr>
          <w:rFonts w:ascii="Times New Roman" w:hAnsi="Times New Roman"/>
        </w:rPr>
        <w:t>Запасное полноразмерное стальное колесо 15''</w:t>
      </w:r>
    </w:p>
    <w:p w:rsidR="00CE11F7" w:rsidRPr="006E2D99" w:rsidRDefault="00CE11F7" w:rsidP="00CE11F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E4E34" w:rsidRPr="00153509" w:rsidRDefault="006E2D99" w:rsidP="0084792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E2D9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4792F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="006E4E34"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DA1402">
        <w:rPr>
          <w:rFonts w:ascii="Times New Roman" w:hAnsi="Times New Roman"/>
        </w:rPr>
        <w:t>1</w:t>
      </w:r>
      <w:r w:rsidR="00060B3F">
        <w:rPr>
          <w:rFonts w:ascii="Times New Roman" w:hAnsi="Times New Roman"/>
        </w:rPr>
        <w:t xml:space="preserve"> </w:t>
      </w:r>
      <w:r w:rsidR="00DA1402">
        <w:rPr>
          <w:rFonts w:ascii="Times New Roman" w:hAnsi="Times New Roman"/>
        </w:rPr>
        <w:t>087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 w:rsidR="00ED6431"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 w:rsidR="002C24BA"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B728E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="002A0050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CD6964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2</w:t>
      </w:r>
      <w:r w:rsidRPr="00CD6964">
        <w:rPr>
          <w:rFonts w:ascii="Times New Roman" w:hAnsi="Times New Roman"/>
          <w:b/>
        </w:rPr>
        <w:t xml:space="preserve">: бывший в употреблении специализированный, автомобиль - самосвал КамАЗ 65201-В5 К4940 (2023 </w:t>
      </w:r>
      <w:proofErr w:type="spellStart"/>
      <w:r w:rsidRPr="00CD6964">
        <w:rPr>
          <w:rFonts w:ascii="Times New Roman" w:hAnsi="Times New Roman"/>
          <w:b/>
        </w:rPr>
        <w:t>г.в</w:t>
      </w:r>
      <w:proofErr w:type="spellEnd"/>
      <w:r w:rsidRPr="00CD6964">
        <w:rPr>
          <w:rFonts w:ascii="Times New Roman" w:hAnsi="Times New Roman"/>
          <w:b/>
        </w:rPr>
        <w:t>.) VIN:  XTC652015P2592253</w:t>
      </w:r>
      <w:r w:rsidR="002F2141">
        <w:rPr>
          <w:rFonts w:ascii="Times New Roman" w:hAnsi="Times New Roman"/>
          <w:b/>
        </w:rPr>
        <w:t>, п</w:t>
      </w:r>
      <w:r w:rsidR="002F2141" w:rsidRPr="00CD6964">
        <w:rPr>
          <w:rFonts w:ascii="Times New Roman" w:hAnsi="Times New Roman"/>
          <w:b/>
        </w:rPr>
        <w:t>робег – 28813 км</w:t>
      </w:r>
      <w:r w:rsidRPr="00CD6964">
        <w:rPr>
          <w:rFonts w:ascii="Times New Roman" w:hAnsi="Times New Roman"/>
          <w:b/>
        </w:rPr>
        <w:t>, принадлежащий ЗАО «Альянс-Лизинг» на праве собственности на основании договора купли-продажи № 18740-ГА-КЗ-ДКП от 19.10.2023</w:t>
      </w:r>
      <w:r w:rsidRPr="00CD6964">
        <w:rPr>
          <w:rFonts w:ascii="Times New Roman" w:hAnsi="Times New Roman"/>
        </w:rPr>
        <w:t xml:space="preserve">. 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Характеристики: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Евро </w:t>
      </w:r>
      <w:proofErr w:type="spellStart"/>
      <w:r w:rsidRPr="00CD6964">
        <w:rPr>
          <w:rFonts w:ascii="Times New Roman" w:hAnsi="Times New Roman"/>
        </w:rPr>
        <w:t>Евро</w:t>
      </w:r>
      <w:proofErr w:type="spellEnd"/>
      <w:r w:rsidRPr="00CD6964">
        <w:rPr>
          <w:rFonts w:ascii="Times New Roman" w:hAnsi="Times New Roman"/>
        </w:rPr>
        <w:t xml:space="preserve"> 5, Двигатель модель КАМАЗ 689.510 -400(Е5) (</w:t>
      </w:r>
      <w:proofErr w:type="spellStart"/>
      <w:r w:rsidRPr="00CD6964">
        <w:rPr>
          <w:rFonts w:ascii="Times New Roman" w:hAnsi="Times New Roman"/>
        </w:rPr>
        <w:t>Cummins</w:t>
      </w:r>
      <w:proofErr w:type="spellEnd"/>
      <w:r w:rsidRPr="00CD6964">
        <w:rPr>
          <w:rFonts w:ascii="Times New Roman" w:hAnsi="Times New Roman"/>
        </w:rPr>
        <w:t xml:space="preserve"> ISL 400 50). 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Коробка передач 1825ТО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Тип разгрузки задняя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Технически допустимая общая масса автомобиля,  43000 кг. 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Грузоподъемность 26.57, Колесная формула 8х4, Объём платформы (кузова), м3-25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Мощность двигателя, </w:t>
      </w:r>
      <w:proofErr w:type="spellStart"/>
      <w:r w:rsidRPr="00CD6964">
        <w:rPr>
          <w:rFonts w:ascii="Times New Roman" w:hAnsi="Times New Roman"/>
        </w:rPr>
        <w:t>л.с</w:t>
      </w:r>
      <w:proofErr w:type="spellEnd"/>
      <w:r w:rsidRPr="00CD6964">
        <w:rPr>
          <w:rFonts w:ascii="Times New Roman" w:hAnsi="Times New Roman"/>
        </w:rPr>
        <w:t>. 400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Система нейтрализации  ОГ (</w:t>
      </w:r>
      <w:proofErr w:type="spellStart"/>
      <w:r w:rsidRPr="00CD6964">
        <w:rPr>
          <w:rFonts w:ascii="Times New Roman" w:hAnsi="Times New Roman"/>
        </w:rPr>
        <w:t>AdBlue</w:t>
      </w:r>
      <w:proofErr w:type="spellEnd"/>
      <w:r w:rsidRPr="00CD6964">
        <w:rPr>
          <w:rFonts w:ascii="Times New Roman" w:hAnsi="Times New Roman"/>
        </w:rPr>
        <w:t xml:space="preserve">), аэродинамический козырек, ДЗК, боковая защита, </w:t>
      </w:r>
      <w:proofErr w:type="spellStart"/>
      <w:r w:rsidRPr="00CD6964">
        <w:rPr>
          <w:rFonts w:ascii="Times New Roman" w:hAnsi="Times New Roman"/>
        </w:rPr>
        <w:t>тахограф</w:t>
      </w:r>
      <w:proofErr w:type="spellEnd"/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российского стандарта с блоком СКЗИ, подготовка под установку УВЭОС, </w:t>
      </w:r>
      <w:proofErr w:type="spellStart"/>
      <w:r w:rsidRPr="00CD6964">
        <w:rPr>
          <w:rFonts w:ascii="Times New Roman" w:hAnsi="Times New Roman"/>
        </w:rPr>
        <w:t>рестайлинг</w:t>
      </w:r>
      <w:proofErr w:type="spellEnd"/>
      <w:r w:rsidRPr="00CD6964">
        <w:rPr>
          <w:rFonts w:ascii="Times New Roman" w:hAnsi="Times New Roman"/>
        </w:rPr>
        <w:t xml:space="preserve"> 2, обо-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грев платформы, ведущие мосты 16т, кондиционер, </w:t>
      </w:r>
      <w:proofErr w:type="spellStart"/>
      <w:r w:rsidRPr="00CD6964">
        <w:rPr>
          <w:rFonts w:ascii="Times New Roman" w:hAnsi="Times New Roman"/>
        </w:rPr>
        <w:t>отопитель</w:t>
      </w:r>
      <w:proofErr w:type="spellEnd"/>
      <w:r w:rsidRPr="00CD6964">
        <w:rPr>
          <w:rFonts w:ascii="Times New Roman" w:hAnsi="Times New Roman"/>
        </w:rPr>
        <w:t xml:space="preserve"> кабины.  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  <w:b/>
        </w:rPr>
        <w:t>2</w:t>
      </w:r>
      <w:r w:rsidRPr="00CD6964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95</w:t>
      </w:r>
      <w:r>
        <w:rPr>
          <w:rFonts w:ascii="Times New Roman" w:hAnsi="Times New Roman"/>
          <w:b/>
        </w:rPr>
        <w:t>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2D601D" w:rsidRDefault="002D601D" w:rsidP="002D601D">
      <w:pPr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</w:t>
      </w:r>
      <w:r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: </w:t>
      </w:r>
      <w:r w:rsidRPr="00CD6964">
        <w:rPr>
          <w:rFonts w:ascii="Times New Roman" w:hAnsi="Times New Roman"/>
          <w:b/>
        </w:rPr>
        <w:t xml:space="preserve">бывший в употреблении специализированный, автомобиль - самосвал КамАЗ 65201-В5 К4940 (2023 </w:t>
      </w:r>
      <w:proofErr w:type="spellStart"/>
      <w:r w:rsidRPr="00CD6964">
        <w:rPr>
          <w:rFonts w:ascii="Times New Roman" w:hAnsi="Times New Roman"/>
          <w:b/>
        </w:rPr>
        <w:t>г.в</w:t>
      </w:r>
      <w:proofErr w:type="spellEnd"/>
      <w:r w:rsidRPr="00CD6964">
        <w:rPr>
          <w:rFonts w:ascii="Times New Roman" w:hAnsi="Times New Roman"/>
          <w:b/>
        </w:rPr>
        <w:t>.) VIN: XTC652015P2592345</w:t>
      </w:r>
      <w:r w:rsidR="00EE3CFD">
        <w:rPr>
          <w:rFonts w:ascii="Times New Roman" w:hAnsi="Times New Roman"/>
          <w:b/>
        </w:rPr>
        <w:t>,</w:t>
      </w:r>
      <w:r w:rsidR="00EE3CFD" w:rsidRPr="00EE3CFD">
        <w:rPr>
          <w:rFonts w:ascii="Times New Roman" w:hAnsi="Times New Roman"/>
          <w:b/>
        </w:rPr>
        <w:t xml:space="preserve"> </w:t>
      </w:r>
      <w:r w:rsidR="00EE3CFD">
        <w:rPr>
          <w:rFonts w:ascii="Times New Roman" w:hAnsi="Times New Roman"/>
          <w:b/>
        </w:rPr>
        <w:t>п</w:t>
      </w:r>
      <w:r w:rsidR="00EE3CFD" w:rsidRPr="00CD6964">
        <w:rPr>
          <w:rFonts w:ascii="Times New Roman" w:hAnsi="Times New Roman"/>
          <w:b/>
        </w:rPr>
        <w:t>робег – 32736 км</w:t>
      </w:r>
      <w:r w:rsidRPr="00CD6964">
        <w:rPr>
          <w:rFonts w:ascii="Times New Roman" w:hAnsi="Times New Roman"/>
          <w:b/>
        </w:rPr>
        <w:t xml:space="preserve">, принадлежащий ЗАО </w:t>
      </w:r>
      <w:r w:rsidRPr="00CD6964">
        <w:rPr>
          <w:rFonts w:ascii="Times New Roman" w:hAnsi="Times New Roman"/>
          <w:b/>
        </w:rPr>
        <w:lastRenderedPageBreak/>
        <w:t>«Альянс-Лизинг» на праве собственности на основании договора купли-продажи № 18740-2-ГА-КЗ-ДКП от 19.10.2023</w:t>
      </w:r>
      <w:bookmarkStart w:id="0" w:name="_GoBack"/>
      <w:bookmarkEnd w:id="0"/>
      <w:r w:rsidRPr="00CD6964">
        <w:rPr>
          <w:rFonts w:ascii="Times New Roman" w:hAnsi="Times New Roman"/>
          <w:b/>
        </w:rPr>
        <w:t>.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Характеристики: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Евро </w:t>
      </w:r>
      <w:proofErr w:type="spellStart"/>
      <w:r w:rsidRPr="00CD6964">
        <w:rPr>
          <w:rFonts w:ascii="Times New Roman" w:hAnsi="Times New Roman"/>
        </w:rPr>
        <w:t>Евро</w:t>
      </w:r>
      <w:proofErr w:type="spellEnd"/>
      <w:r w:rsidRPr="00CD6964">
        <w:rPr>
          <w:rFonts w:ascii="Times New Roman" w:hAnsi="Times New Roman"/>
        </w:rPr>
        <w:t xml:space="preserve"> 5, Двигатель модель КАМАЗ 689.510 -400(Е5) (</w:t>
      </w:r>
      <w:proofErr w:type="spellStart"/>
      <w:r w:rsidRPr="00CD6964">
        <w:rPr>
          <w:rFonts w:ascii="Times New Roman" w:hAnsi="Times New Roman"/>
        </w:rPr>
        <w:t>Cummins</w:t>
      </w:r>
      <w:proofErr w:type="spellEnd"/>
      <w:r w:rsidRPr="00CD6964">
        <w:rPr>
          <w:rFonts w:ascii="Times New Roman" w:hAnsi="Times New Roman"/>
        </w:rPr>
        <w:t xml:space="preserve"> ISL 400 50). 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Коробка передач 1825ТО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Тип разгрузки задняя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Технически допустимая общая масса автомобиля,  43000 кг. 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Грузоподъемность 26.57, Колесная формула 8х4, Объём платформы (кузова), м3-25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Мощность двигателя, </w:t>
      </w:r>
      <w:proofErr w:type="spellStart"/>
      <w:r w:rsidRPr="00CD6964">
        <w:rPr>
          <w:rFonts w:ascii="Times New Roman" w:hAnsi="Times New Roman"/>
        </w:rPr>
        <w:t>л.с</w:t>
      </w:r>
      <w:proofErr w:type="spellEnd"/>
      <w:r w:rsidRPr="00CD6964">
        <w:rPr>
          <w:rFonts w:ascii="Times New Roman" w:hAnsi="Times New Roman"/>
        </w:rPr>
        <w:t>. 400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Система нейтрализации  ОГ (</w:t>
      </w:r>
      <w:proofErr w:type="spellStart"/>
      <w:r w:rsidRPr="00CD6964">
        <w:rPr>
          <w:rFonts w:ascii="Times New Roman" w:hAnsi="Times New Roman"/>
        </w:rPr>
        <w:t>AdBlue</w:t>
      </w:r>
      <w:proofErr w:type="spellEnd"/>
      <w:r w:rsidRPr="00CD6964">
        <w:rPr>
          <w:rFonts w:ascii="Times New Roman" w:hAnsi="Times New Roman"/>
        </w:rPr>
        <w:t xml:space="preserve">), аэродинамический козырек, ДЗК, боковая защита, </w:t>
      </w:r>
      <w:proofErr w:type="spellStart"/>
      <w:r w:rsidRPr="00CD6964">
        <w:rPr>
          <w:rFonts w:ascii="Times New Roman" w:hAnsi="Times New Roman"/>
        </w:rPr>
        <w:t>тахограф</w:t>
      </w:r>
      <w:proofErr w:type="spellEnd"/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российского стандарта с блоком СКЗИ, подготовка под установку УВЭОС, </w:t>
      </w:r>
      <w:proofErr w:type="spellStart"/>
      <w:r w:rsidRPr="00CD6964">
        <w:rPr>
          <w:rFonts w:ascii="Times New Roman" w:hAnsi="Times New Roman"/>
        </w:rPr>
        <w:t>рестайлинг</w:t>
      </w:r>
      <w:proofErr w:type="spellEnd"/>
      <w:r w:rsidRPr="00CD6964">
        <w:rPr>
          <w:rFonts w:ascii="Times New Roman" w:hAnsi="Times New Roman"/>
        </w:rPr>
        <w:t xml:space="preserve"> 2, обо-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грев платформы, ведущие мосты 16т, кондиционер, </w:t>
      </w:r>
      <w:proofErr w:type="spellStart"/>
      <w:r w:rsidRPr="00CD6964">
        <w:rPr>
          <w:rFonts w:ascii="Times New Roman" w:hAnsi="Times New Roman"/>
        </w:rPr>
        <w:t>отопитель</w:t>
      </w:r>
      <w:proofErr w:type="spellEnd"/>
      <w:r w:rsidRPr="00CD6964">
        <w:rPr>
          <w:rFonts w:ascii="Times New Roman" w:hAnsi="Times New Roman"/>
        </w:rPr>
        <w:t xml:space="preserve"> кабины.  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  <w:b/>
        </w:rPr>
        <w:t>2</w:t>
      </w:r>
      <w:r w:rsidRPr="00CD6964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950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2D601D" w:rsidRDefault="002D60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28AC" w:rsidRDefault="004A0501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Татарстан, </w:t>
      </w:r>
      <w:proofErr w:type="spellStart"/>
      <w:r w:rsidRPr="00CD6964">
        <w:rPr>
          <w:rFonts w:ascii="Times New Roman" w:hAnsi="Times New Roman"/>
        </w:rPr>
        <w:t>Пестречинский</w:t>
      </w:r>
      <w:proofErr w:type="spellEnd"/>
      <w:r w:rsidRPr="00CD6964">
        <w:rPr>
          <w:rFonts w:ascii="Times New Roman" w:hAnsi="Times New Roman"/>
        </w:rPr>
        <w:t xml:space="preserve"> район, </w:t>
      </w:r>
      <w:proofErr w:type="spellStart"/>
      <w:r w:rsidRPr="00CD6964">
        <w:rPr>
          <w:rFonts w:ascii="Times New Roman" w:hAnsi="Times New Roman"/>
        </w:rPr>
        <w:t>д.Званка</w:t>
      </w:r>
      <w:proofErr w:type="spellEnd"/>
      <w:r w:rsidRPr="00CD6964">
        <w:rPr>
          <w:rFonts w:ascii="Times New Roman" w:hAnsi="Times New Roman"/>
        </w:rPr>
        <w:t xml:space="preserve">, </w:t>
      </w:r>
      <w:proofErr w:type="spellStart"/>
      <w:r w:rsidRPr="00CD6964">
        <w:rPr>
          <w:rFonts w:ascii="Times New Roman" w:hAnsi="Times New Roman"/>
        </w:rPr>
        <w:t>ул.Зеленая</w:t>
      </w:r>
      <w:proofErr w:type="spellEnd"/>
      <w:r w:rsidRPr="00CD6964">
        <w:rPr>
          <w:rFonts w:ascii="Times New Roman" w:hAnsi="Times New Roman"/>
        </w:rPr>
        <w:t xml:space="preserve">, д.24  по предварительному согласованию даты и времени осмотра с Организатором торгов по электронной почте </w:t>
      </w:r>
      <w:hyperlink r:id="rId8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BE3B94" w:rsidRDefault="00BE3B94" w:rsidP="00ED36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участия в электронном аукционе и условия проведения аукциона</w:t>
      </w:r>
    </w:p>
    <w:p w:rsidR="006B742B" w:rsidRDefault="006B74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742B" w:rsidRDefault="002568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Торги проводятся в электронной форме на электронной торговой площадке АО «Российский аукционный дом» по адресу в сети интернет </w:t>
      </w:r>
      <w:hyperlink r:id="rId9">
        <w:r>
          <w:rPr>
            <w:rFonts w:ascii="Times New Roman" w:hAnsi="Times New Roman"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sz w:val="24"/>
          <w:szCs w:val="24"/>
        </w:rPr>
        <w:t xml:space="preserve"> в соответствии со </w:t>
      </w:r>
      <w:proofErr w:type="spellStart"/>
      <w:r>
        <w:rPr>
          <w:rFonts w:ascii="Times New Roman" w:hAnsi="Times New Roman"/>
          <w:b/>
          <w:sz w:val="24"/>
          <w:szCs w:val="24"/>
        </w:rPr>
        <w:t>ст.ст</w:t>
      </w:r>
      <w:proofErr w:type="spellEnd"/>
      <w:r>
        <w:rPr>
          <w:rFonts w:ascii="Times New Roman" w:hAnsi="Times New Roman"/>
          <w:b/>
          <w:sz w:val="24"/>
          <w:szCs w:val="24"/>
        </w:rPr>
        <w:t>. 447-449 ГК РФ</w:t>
      </w:r>
      <w:r>
        <w:rPr>
          <w:rFonts w:ascii="Times New Roman" w:hAnsi="Times New Roman"/>
          <w:sz w:val="24"/>
          <w:szCs w:val="24"/>
        </w:rPr>
        <w:t xml:space="preserve">, 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размещенным на сайте  </w:t>
      </w:r>
      <w:hyperlink r:id="rId10">
        <w:r>
          <w:rPr>
            <w:rFonts w:ascii="Times New Roman" w:hAnsi="Times New Roman"/>
            <w:b/>
            <w:sz w:val="24"/>
            <w:szCs w:val="24"/>
            <w:lang w:val="en-US"/>
          </w:rPr>
          <w:t>www</w:t>
        </w:r>
        <w:r>
          <w:rPr>
            <w:rFonts w:ascii="Times New Roman" w:hAnsi="Times New Roman"/>
            <w:b/>
            <w:sz w:val="24"/>
            <w:szCs w:val="24"/>
          </w:rPr>
          <w:t>.lot-online.ru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Регламент).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Ознакомиться с Правилами проведения аукциона, формой договора задатка и формой договора купли-продажи можно с момента начала приема заявок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электронной торговой площадке в разделе «карточка лота».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торгах необходимо зарегистрироваться на электронной торговой площадке по адресу в сети интернет </w:t>
      </w:r>
      <w:hyperlink r:id="rId11">
        <w:r>
          <w:rPr>
            <w:rFonts w:ascii="Times New Roman" w:hAnsi="Times New Roman"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sz w:val="24"/>
          <w:szCs w:val="24"/>
        </w:rPr>
        <w:t xml:space="preserve"> (далее – ЭТП) в соответствии с Регламентом.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участию в аукционе, проводимом в электронной форме, допускаются любые юридические и физические лица, в том числе индивидуальные предпринимателя, своевременно подавшие заявку на участие в аукционе и представившие документы в соответствии с перечнем, указанным в настоящем извещении, обеспечившие поступление на расчетный счет Организатора торгов суммы задатка в установленный в настоящем извещении срок. 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заявки осуществляется путем заполнения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Одновременно к заявке Претенденты прилагают подписанные электронной подписью документы, действительные на день представления.</w:t>
      </w:r>
    </w:p>
    <w:p w:rsidR="006B742B" w:rsidRDefault="006B742B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Документы, необходимые для участия в аукционе в электронной форме:</w:t>
      </w:r>
    </w:p>
    <w:p w:rsidR="006B742B" w:rsidRDefault="006B742B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Заявка на участие в аукционе</w:t>
      </w:r>
      <w:r>
        <w:rPr>
          <w:rFonts w:ascii="Times New Roman" w:hAnsi="Times New Roman"/>
          <w:sz w:val="24"/>
          <w:szCs w:val="24"/>
        </w:rPr>
        <w:t>, проводимом в электронной форме, с согласием на предоставление и обработку персональных данных в соответствии с Федеральным законом от 27.07.2006 № 152-ФЗ «О персональных данных». На каждый лот оформляется отдельная заявка.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заявки осуществляется путем заполнения формы, размещенной на ЭТП, и подписания ее электронной подписью Претендента (его уполномоченного представителя).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Платежный документ, подтверждающий внесение Претендентом задатка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платежное поручение с отметкой банка об исполнении или чек-ордер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), на каждый лот должен быть отдельный платежный документ.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Договор о задатке по форме, размещенной на электронной площадке в разделе «карточка лота».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/>
          <w:sz w:val="24"/>
          <w:szCs w:val="24"/>
        </w:rPr>
        <w:t>Надлежащим образом оформленная доверенность на лицо, имеющее право действовать от имени Претендента, если заявка подается уполномоченным представителем Претендента или заключенный между Агентом и Принципалом Агентский договор/Агентское соглашение.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Анкета клиента</w:t>
      </w:r>
      <w:r>
        <w:rPr>
          <w:rFonts w:ascii="Times New Roman" w:hAnsi="Times New Roman"/>
          <w:sz w:val="24"/>
          <w:szCs w:val="24"/>
        </w:rPr>
        <w:t xml:space="preserve"> физического/юридического лица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терроризма». Анкета предоставляется путем заполнения формы, размещенной на ЭТП, и подписания ее электронной подписью Претендента (его уполномоченного представителя)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Одновременно к заявке Претенденты прилагают: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b/>
          <w:sz w:val="24"/>
          <w:szCs w:val="24"/>
        </w:rPr>
        <w:t xml:space="preserve"> Физические лица</w:t>
      </w:r>
      <w:r>
        <w:rPr>
          <w:rFonts w:ascii="Times New Roman" w:hAnsi="Times New Roman"/>
          <w:sz w:val="24"/>
          <w:szCs w:val="24"/>
        </w:rPr>
        <w:t>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паспорт Претендента (все страницы)/паспорт представителя Претендента в случае подачи документов от имени Претендента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СНИЛС Претендента/СНИЛС представителя Претендента в случае подачи документов от имени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b/>
          <w:sz w:val="24"/>
          <w:szCs w:val="24"/>
        </w:rPr>
        <w:t xml:space="preserve"> Индивидуальные предприниматели: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паспорт Претендента (все страницы)/паспорт представителя Претендента, в случае подачи документов от имени Претендента (все страницы); 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регистрации Претендента в качестве ИП/лист записи из ЕГРИП, полученный при регистрации;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>
        <w:rPr>
          <w:rFonts w:ascii="Times New Roman" w:hAnsi="Times New Roman"/>
          <w:b/>
          <w:sz w:val="24"/>
          <w:szCs w:val="24"/>
        </w:rPr>
        <w:t xml:space="preserve">Юридические лица: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Устав, свидетельство о  государственной регистрации юридического лица свидетельство ОГРН)/лист записи о создании юридического лица, свидетельство о постановке на учет в налоговом органе;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актуальная на дату предоставления выписка ЕГРЮЛ;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документы, подтверждающие полномочия органов управления претендента (выписки из протоколов, копии приказов);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доверенность на имя представителя, имеющего право действовать от имени Претендента - юридического лица или заключенный между юридическим лицом и представителем Агентский договор/Агентское соглашение, паспорт представителя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письменное решение соответствующего органа управления Претендента, разрешающее приобретение имущества, если это необходимо в соответствии с учредительными документами Претендента и действующим законодательством, либо документ (справку, протокол), подтверждающий, что данная сделка не является крупной для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выписка из торгового реестра страны происхождения или иное эквивалентное доказательство юридического статуса для юридических лиц – нерезидентов Российской Федерации.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 Иностранные физические лица также предоставляют документы, подтверждающие в соответствии с действующим законодательством их законное пребывание (проживание) на территории Российской Федерации, в том числе миграционную карту. Иностранные юридические лица также предоставляют нотариально заверенные копии учредительных документов и выписки из торгового реестра страны происхождения или иного законодательного доказательства юридического статуса. Документы, предоставляемые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представляются в форме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электронных документов, подписанных электронной подписью Претендента (его уполномоченного представителя), либо электронных образов документов</w:t>
      </w:r>
      <w:r>
        <w:rPr>
          <w:rFonts w:ascii="Times New Roman" w:hAnsi="Times New Roman"/>
          <w:sz w:val="24"/>
          <w:szCs w:val="24"/>
        </w:rPr>
        <w:t xml:space="preserve">. Электронный образ документа создается с помощью средств сканирования. </w:t>
      </w:r>
      <w:r>
        <w:rPr>
          <w:rFonts w:ascii="Times New Roman" w:hAnsi="Times New Roman"/>
          <w:b/>
          <w:sz w:val="24"/>
          <w:szCs w:val="24"/>
        </w:rPr>
        <w:t>Сканирование документа на бумажном носителе должно производиться в масштабе 1:1,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изображений, либо цветного текста</w:t>
      </w:r>
      <w:r>
        <w:rPr>
          <w:rFonts w:ascii="Times New Roman" w:hAnsi="Times New Roman"/>
          <w:sz w:val="24"/>
          <w:szCs w:val="24"/>
        </w:rPr>
        <w:t>. Файл электронного образа документа должен быть в формате</w:t>
      </w:r>
      <w:r>
        <w:rPr>
          <w:rFonts w:ascii="Times New Roman" w:hAnsi="Times New Roman"/>
          <w:b/>
          <w:sz w:val="24"/>
          <w:szCs w:val="24"/>
        </w:rPr>
        <w:t xml:space="preserve"> PDF</w:t>
      </w:r>
      <w:r>
        <w:rPr>
          <w:rFonts w:ascii="Times New Roman" w:hAnsi="Times New Roman"/>
          <w:sz w:val="24"/>
          <w:szCs w:val="24"/>
        </w:rPr>
        <w:t xml:space="preserve">. Размер файла электронного образа не должен превышать 30 Мб. </w:t>
      </w:r>
      <w:r>
        <w:rPr>
          <w:rFonts w:ascii="Times New Roman" w:hAnsi="Times New Roman"/>
          <w:b/>
          <w:sz w:val="24"/>
          <w:szCs w:val="24"/>
        </w:rPr>
        <w:t>Каждый отдельный документ должен быть представлен в виде отдельного (самостоятельного) файла. Многостраничный документ (например, паспорт) предоставляется единым файлом. Наименование файла должно идентифицировать документ</w:t>
      </w:r>
      <w:r>
        <w:rPr>
          <w:rFonts w:ascii="Times New Roman" w:hAnsi="Times New Roman"/>
          <w:sz w:val="24"/>
          <w:szCs w:val="24"/>
        </w:rPr>
        <w:t xml:space="preserve">. Файлы и данные, содержащиеся в них, должны быть доступными для работы, не должны быть защищены от копирования и печати электронного образа.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образ документа заверяется простой электронной подписью или усиленной квалифицированной электронной подписью. Наличие электронной подписи Претендента (его уполномоченного представителя) означает, что документы и сведения, поданные в форме электронных документов (электронных образов документов) направлены от Претендента, который несет ответственность за подлинность и достоверность таких документов и сведений.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Подавая заявку на участие в электронном аукционе, Претендент подтверждает, что ознакомился с информацией о предмете аукциона и его технических характеристиках, о возможном наличии ограничений на регистрационные действия, проектом договора купли-</w:t>
      </w:r>
      <w:r>
        <w:rPr>
          <w:rFonts w:ascii="Times New Roman" w:hAnsi="Times New Roman"/>
          <w:sz w:val="24"/>
          <w:szCs w:val="24"/>
        </w:rPr>
        <w:lastRenderedPageBreak/>
        <w:t>продажи, произвел осмотр данного Имущества и проверку его качества, результаты которых его полностью устраивают.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Ознакомиться с дополнительной информацией о предмете торгов и порядке их проведения заинтересованные лица могут в дни приема заявок, направив обращение-запрос в простой письменной форме по адресу электронной почты Организатора торгов torgi@alliance-leasing.ru. Срок предоставления ответа за запрос составляет 3 (три) рабочих дня начиная со следующего дня от даты получения запроса Организатором торгов. В выходные (включая праздничные дни) обращения-запросы по торгам Организатором торгов не рассматриваются и ответы не предоставляются.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Претендент вправе отозвать заявку на участие в аукционе не позднее срока приема заявок.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и возврата задатка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(а также основной платеж, уплачиваемый Победителем торгов) перечисляется по следующим реквизитам (полностью в рублях):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Получатель: ЗАО «Альянс-Лизинг»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ОГРН 1037843023712, ИНН 7825496985, КПП 781401001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р/с 40702810132000000667 в филиале «Санкт-Петербургский» АО «АЛЬФА-БАНК» г. Санкт-Петербург, к/с 30101810600000000786, БИК 044030786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платежном документе в графе «Назначение платежа» обязательно должны содержаться сведения о перечислении задатка, номере лота на ЭТП, предмете торгов.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Задаток по каждому лоту оплачивается отдельным платежным поручением.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задатке, размещенной на сайте www.lot-online.ru в разделе «карточка лота».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суммы задатка на расчетный счет Организатора торгов, указанный в настоящем извещении о проведении аукциона.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лицом не допускается. Задаток считается внесенным с даты поступления всей суммы Задатка на расчетный счет Организатора торгов.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в случае отмены торгов до момента определения участников торгов, отзыва участником торгов заявки на участие в торгах,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недопуска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Претендента к участию в торгах, непризнания участника торгов победителем торгов.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по реквизитам, указанным в договоре о задатке.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Порядок проведения и подведения итогов аукциона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торгам не допускаются Претенденты, подавшие заявки на участие в электронном аукционе,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заявка на участие в аукционе подана с нарушением срока, установленного в настоящем извещении;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приложенные к заявке документы не соответствуют требованиям, установленным законодательством Российской Федерации и настоящим извещением;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подтверждено поступление задатка в установленный в настоящем извещении срок на расчетный счет Организатора торгов.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с даты оформления решения протоколом посредством уведомления в личном кабинете на электронной торговой площадке.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 торгов признается участник, предложивший наиболее высокую цену.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Протокол подведения итогов аукциона с момента его утверждения Организатором аукциона приобретает юридическую силу и является документом, удостоверяющим право победителя на заключение договора </w:t>
      </w:r>
      <w:r>
        <w:rPr>
          <w:rFonts w:ascii="Times New Roman" w:hAnsi="Times New Roman"/>
          <w:bCs/>
          <w:sz w:val="24"/>
          <w:szCs w:val="24"/>
          <w:lang w:eastAsia="ar-SA"/>
        </w:rPr>
        <w:t>по итогам торгов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Договор купли-продажи заключается с Победителем торгов в течении 5 (пяти) рабочих дней после подведения итогов торгов в соответствии с представленным Победителем торгов предложением о цене имущества.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Победитель торгов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уплачивает цену продажи за вычетом задатка в течение 5 (пяти) рабочих дней с момента подписания обеими сторонами договора купли-продажи на расчетный счет Организатора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Победитель торгов в установленные сроки не подписал договор купли-продажи, он лишается права на приобретение имущества, сумма внесенного им задатка не возвращается.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 собственности переходит к Победителю торгов в порядке, установленном законодательством Российской Федерации. В случае необходимости расходы по государственной регистрации перехода права собственности на имущество возлагаются на Победителя аукциона (Покупателя).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торгов объявляет торги несостоявшимися,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Заявки на участие в торгах подали менее двух лиц;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торгах никто не принял участие или принял участие один участник торгов;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Из участников торгов никто не сделал надбавки к начальной цене имущества;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Лицо, выигравшее торги, в течение 5 (пяти) рабочих дней со дня проведения торгов уклонилось от заключения договора купли-продажи по  результатам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6B74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B742B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ont SemiBold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9E4"/>
    <w:multiLevelType w:val="multilevel"/>
    <w:tmpl w:val="CF90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02101"/>
    <w:multiLevelType w:val="multilevel"/>
    <w:tmpl w:val="AAD0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82EB8"/>
    <w:multiLevelType w:val="multilevel"/>
    <w:tmpl w:val="2E32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B2866"/>
    <w:multiLevelType w:val="multilevel"/>
    <w:tmpl w:val="088E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900380"/>
    <w:multiLevelType w:val="multilevel"/>
    <w:tmpl w:val="D8EA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951898"/>
    <w:multiLevelType w:val="multilevel"/>
    <w:tmpl w:val="51D0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092EC9"/>
    <w:multiLevelType w:val="multilevel"/>
    <w:tmpl w:val="1E32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1A381B"/>
    <w:multiLevelType w:val="multilevel"/>
    <w:tmpl w:val="4832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571614"/>
    <w:multiLevelType w:val="multilevel"/>
    <w:tmpl w:val="6C54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129F1"/>
    <w:multiLevelType w:val="multilevel"/>
    <w:tmpl w:val="5CB6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004FE5"/>
    <w:multiLevelType w:val="multilevel"/>
    <w:tmpl w:val="894C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2B"/>
    <w:rsid w:val="00027C8D"/>
    <w:rsid w:val="000330E0"/>
    <w:rsid w:val="00046F2F"/>
    <w:rsid w:val="00055270"/>
    <w:rsid w:val="00060B3F"/>
    <w:rsid w:val="00072825"/>
    <w:rsid w:val="000846BC"/>
    <w:rsid w:val="0009670B"/>
    <w:rsid w:val="000A229C"/>
    <w:rsid w:val="000D535F"/>
    <w:rsid w:val="000D6DBE"/>
    <w:rsid w:val="000E49E8"/>
    <w:rsid w:val="00164E34"/>
    <w:rsid w:val="0018252C"/>
    <w:rsid w:val="0018611A"/>
    <w:rsid w:val="0019542F"/>
    <w:rsid w:val="001F08EC"/>
    <w:rsid w:val="001F6EF0"/>
    <w:rsid w:val="00240EAE"/>
    <w:rsid w:val="0024202A"/>
    <w:rsid w:val="00256860"/>
    <w:rsid w:val="00277D84"/>
    <w:rsid w:val="00282542"/>
    <w:rsid w:val="002847D4"/>
    <w:rsid w:val="002A0050"/>
    <w:rsid w:val="002A2331"/>
    <w:rsid w:val="002C24BA"/>
    <w:rsid w:val="002D601D"/>
    <w:rsid w:val="002F2141"/>
    <w:rsid w:val="00313991"/>
    <w:rsid w:val="00374AA7"/>
    <w:rsid w:val="00395EED"/>
    <w:rsid w:val="003A2B03"/>
    <w:rsid w:val="003B728E"/>
    <w:rsid w:val="003E416A"/>
    <w:rsid w:val="00401007"/>
    <w:rsid w:val="00413023"/>
    <w:rsid w:val="00417FE9"/>
    <w:rsid w:val="00424AF4"/>
    <w:rsid w:val="00443564"/>
    <w:rsid w:val="004727CB"/>
    <w:rsid w:val="004A0501"/>
    <w:rsid w:val="004A3F09"/>
    <w:rsid w:val="004F3150"/>
    <w:rsid w:val="004F79B6"/>
    <w:rsid w:val="005A6447"/>
    <w:rsid w:val="005B71F9"/>
    <w:rsid w:val="005C4DCF"/>
    <w:rsid w:val="005E7C67"/>
    <w:rsid w:val="005F5985"/>
    <w:rsid w:val="006025F9"/>
    <w:rsid w:val="00607249"/>
    <w:rsid w:val="00615521"/>
    <w:rsid w:val="00641E0E"/>
    <w:rsid w:val="006528AC"/>
    <w:rsid w:val="00692A06"/>
    <w:rsid w:val="006A4A95"/>
    <w:rsid w:val="006B742B"/>
    <w:rsid w:val="006C208F"/>
    <w:rsid w:val="006C2BA8"/>
    <w:rsid w:val="006E2D99"/>
    <w:rsid w:val="006E4E34"/>
    <w:rsid w:val="006F0F4B"/>
    <w:rsid w:val="006F29A7"/>
    <w:rsid w:val="007054BE"/>
    <w:rsid w:val="00724840"/>
    <w:rsid w:val="00725228"/>
    <w:rsid w:val="0073160F"/>
    <w:rsid w:val="00755B8C"/>
    <w:rsid w:val="007839F6"/>
    <w:rsid w:val="007A41F7"/>
    <w:rsid w:val="007D1935"/>
    <w:rsid w:val="007E2F9A"/>
    <w:rsid w:val="007E7CB6"/>
    <w:rsid w:val="007F3288"/>
    <w:rsid w:val="00832FBE"/>
    <w:rsid w:val="0084792F"/>
    <w:rsid w:val="00857BA7"/>
    <w:rsid w:val="00874290"/>
    <w:rsid w:val="00883D70"/>
    <w:rsid w:val="00890D80"/>
    <w:rsid w:val="008C54DB"/>
    <w:rsid w:val="008F6D84"/>
    <w:rsid w:val="00900C8A"/>
    <w:rsid w:val="00927911"/>
    <w:rsid w:val="0093678E"/>
    <w:rsid w:val="00972092"/>
    <w:rsid w:val="009A0F8E"/>
    <w:rsid w:val="009D1504"/>
    <w:rsid w:val="009F1426"/>
    <w:rsid w:val="009F69EE"/>
    <w:rsid w:val="00A35906"/>
    <w:rsid w:val="00A65526"/>
    <w:rsid w:val="00B52EFE"/>
    <w:rsid w:val="00BC7816"/>
    <w:rsid w:val="00BE3B94"/>
    <w:rsid w:val="00C21FE5"/>
    <w:rsid w:val="00CE11F7"/>
    <w:rsid w:val="00CE1EA6"/>
    <w:rsid w:val="00CE3C30"/>
    <w:rsid w:val="00D07001"/>
    <w:rsid w:val="00D431C5"/>
    <w:rsid w:val="00D508E7"/>
    <w:rsid w:val="00D54598"/>
    <w:rsid w:val="00D9269D"/>
    <w:rsid w:val="00DA1402"/>
    <w:rsid w:val="00DC00BC"/>
    <w:rsid w:val="00DD77CB"/>
    <w:rsid w:val="00DF7983"/>
    <w:rsid w:val="00E1015A"/>
    <w:rsid w:val="00E560C3"/>
    <w:rsid w:val="00E970D7"/>
    <w:rsid w:val="00EB45F4"/>
    <w:rsid w:val="00ED3613"/>
    <w:rsid w:val="00ED6431"/>
    <w:rsid w:val="00EE1128"/>
    <w:rsid w:val="00EE3CFD"/>
    <w:rsid w:val="00F2254A"/>
    <w:rsid w:val="00F246E9"/>
    <w:rsid w:val="00F359AE"/>
    <w:rsid w:val="00F523E5"/>
    <w:rsid w:val="00F75768"/>
    <w:rsid w:val="00F8013B"/>
    <w:rsid w:val="00F8782E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5A42"/>
  <w15:docId w15:val="{2D36C0DC-8E19-40CF-AB0A-A89502CB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A6701"/>
    <w:rPr>
      <w:color w:val="0563C1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B3872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Посещённая гиперссылка"/>
    <w:basedOn w:val="a0"/>
    <w:uiPriority w:val="99"/>
    <w:semiHidden/>
    <w:unhideWhenUsed/>
    <w:rsid w:val="009E53AF"/>
    <w:rPr>
      <w:color w:val="954F72" w:themeColor="followed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233145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qFormat/>
    <w:rsid w:val="002C1E9D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2C1E9D"/>
    <w:rPr>
      <w:lang w:eastAsia="en-US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2C1E9D"/>
    <w:rPr>
      <w:b/>
      <w:bCs/>
      <w:lang w:eastAsia="en-US"/>
    </w:rPr>
  </w:style>
  <w:style w:type="character" w:customStyle="1" w:styleId="ty-control-groupitem">
    <w:name w:val="ty-control-group__item"/>
    <w:basedOn w:val="a0"/>
    <w:qFormat/>
    <w:rsid w:val="0061008B"/>
  </w:style>
  <w:style w:type="character" w:styleId="ad">
    <w:name w:val="Strong"/>
    <w:uiPriority w:val="22"/>
    <w:qFormat/>
    <w:rsid w:val="00CE3BE5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EB38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Revision"/>
    <w:uiPriority w:val="99"/>
    <w:semiHidden/>
    <w:qFormat/>
    <w:rsid w:val="00BF5EE5"/>
    <w:rPr>
      <w:sz w:val="22"/>
      <w:szCs w:val="22"/>
      <w:lang w:eastAsia="en-US"/>
    </w:rPr>
  </w:style>
  <w:style w:type="paragraph" w:styleId="a7">
    <w:name w:val="List Paragraph"/>
    <w:basedOn w:val="a"/>
    <w:link w:val="a6"/>
    <w:uiPriority w:val="34"/>
    <w:qFormat/>
    <w:rsid w:val="00233145"/>
    <w:pPr>
      <w:spacing w:after="200" w:line="276" w:lineRule="auto"/>
      <w:ind w:left="720"/>
      <w:contextualSpacing/>
    </w:pPr>
  </w:style>
  <w:style w:type="paragraph" w:customStyle="1" w:styleId="af4">
    <w:name w:val="Знак Знак"/>
    <w:basedOn w:val="a"/>
    <w:qFormat/>
    <w:rsid w:val="00DC3E0C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a">
    <w:name w:val="annotation text"/>
    <w:basedOn w:val="a"/>
    <w:link w:val="a9"/>
    <w:uiPriority w:val="99"/>
    <w:semiHidden/>
    <w:unhideWhenUsed/>
    <w:qFormat/>
    <w:rsid w:val="002C1E9D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2C1E9D"/>
    <w:rPr>
      <w:b/>
      <w:bCs/>
    </w:rPr>
  </w:style>
  <w:style w:type="paragraph" w:customStyle="1" w:styleId="ConsNonformat">
    <w:name w:val="ConsNonformat"/>
    <w:qFormat/>
    <w:rsid w:val="001C38FE"/>
    <w:pPr>
      <w:widowControl w:val="0"/>
    </w:pPr>
    <w:rPr>
      <w:rFonts w:ascii="Courier New" w:eastAsia="Times New Roman" w:hAnsi="Courier New" w:cs="Courier New"/>
    </w:rPr>
  </w:style>
  <w:style w:type="paragraph" w:customStyle="1" w:styleId="3f3f3f3f3f3f3f3f3f3f3f3f3f3f3f">
    <w:name w:val="П3fа3fр3fа3fм3fе3fт3fр3f т3fе3fх3fн3fи3fк3fи3f"/>
    <w:basedOn w:val="a"/>
    <w:uiPriority w:val="99"/>
    <w:qFormat/>
    <w:rsid w:val="004E4630"/>
    <w:pPr>
      <w:spacing w:after="0" w:line="240" w:lineRule="auto"/>
    </w:pPr>
    <w:rPr>
      <w:rFonts w:ascii="Mont SemiBold" w:eastAsia="Times New Roman" w:hAnsi="Mont SemiBold" w:cs="Mont SemiBold"/>
      <w:color w:val="34495E"/>
      <w:sz w:val="16"/>
      <w:szCs w:val="16"/>
      <w:lang w:eastAsia="ru-RU"/>
    </w:rPr>
  </w:style>
  <w:style w:type="paragraph" w:styleId="af5">
    <w:name w:val="Normal (Web)"/>
    <w:basedOn w:val="a"/>
    <w:uiPriority w:val="99"/>
    <w:semiHidden/>
    <w:unhideWhenUsed/>
    <w:qFormat/>
    <w:rsid w:val="00CE3BE5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90C04"/>
    <w:pPr>
      <w:suppressAutoHyphens w:val="0"/>
      <w:spacing w:after="0" w:line="206" w:lineRule="exact"/>
      <w:ind w:left="189"/>
    </w:pPr>
    <w:rPr>
      <w:rFonts w:ascii="Arial" w:eastAsiaTheme="minorHAnsi" w:hAnsi="Arial" w:cs="Arial"/>
    </w:rPr>
  </w:style>
  <w:style w:type="paragraph" w:customStyle="1" w:styleId="Default">
    <w:name w:val="Default"/>
    <w:qFormat/>
    <w:rsid w:val="00812CDF"/>
    <w:pPr>
      <w:suppressAutoHyphens w:val="0"/>
    </w:pPr>
    <w:rPr>
      <w:rFonts w:ascii="Arial" w:hAnsi="Arial" w:cs="Arial"/>
      <w:color w:val="000000"/>
      <w:sz w:val="24"/>
      <w:szCs w:val="24"/>
    </w:rPr>
  </w:style>
  <w:style w:type="paragraph" w:styleId="af6">
    <w:name w:val="No Spacing"/>
    <w:uiPriority w:val="1"/>
    <w:qFormat/>
    <w:rsid w:val="00F359AE"/>
    <w:pPr>
      <w:suppressAutoHyphens w:val="0"/>
    </w:pPr>
    <w:rPr>
      <w:sz w:val="22"/>
      <w:szCs w:val="22"/>
      <w:lang w:eastAsia="en-US"/>
    </w:rPr>
  </w:style>
  <w:style w:type="paragraph" w:styleId="af7">
    <w:name w:val="Plain Text"/>
    <w:basedOn w:val="a"/>
    <w:link w:val="af8"/>
    <w:uiPriority w:val="99"/>
    <w:semiHidden/>
    <w:unhideWhenUsed/>
    <w:rsid w:val="00CE11F7"/>
    <w:pPr>
      <w:suppressAutoHyphens w:val="0"/>
      <w:spacing w:after="0" w:line="240" w:lineRule="auto"/>
    </w:pPr>
    <w:rPr>
      <w:rFonts w:eastAsiaTheme="minorHAnsi" w:cstheme="minorBidi"/>
      <w:szCs w:val="21"/>
    </w:rPr>
  </w:style>
  <w:style w:type="character" w:customStyle="1" w:styleId="af8">
    <w:name w:val="Текст Знак"/>
    <w:basedOn w:val="a0"/>
    <w:link w:val="af7"/>
    <w:uiPriority w:val="99"/>
    <w:semiHidden/>
    <w:rsid w:val="00CE11F7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iance-leasing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ustorg.online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t-online.ru/" TargetMode="External"/><Relationship Id="rId11" Type="http://schemas.openxmlformats.org/officeDocument/2006/relationships/hyperlink" Target="https://lot-online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ED6C5-D9E0-4910-8FD6-759782071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2961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Alliance-Leasing</Company>
  <LinksUpToDate>false</LinksUpToDate>
  <CharactersWithSpaces>19806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Мария Владимировна</dc:creator>
  <dc:description/>
  <cp:lastModifiedBy>Савченко Татьяна Анатольевна</cp:lastModifiedBy>
  <cp:revision>76</cp:revision>
  <dcterms:created xsi:type="dcterms:W3CDTF">2025-11-11T07:21:00Z</dcterms:created>
  <dcterms:modified xsi:type="dcterms:W3CDTF">2026-04-15T08:21:00Z</dcterms:modified>
  <dc:language>ru-RU</dc:language>
</cp:coreProperties>
</file>