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424C36C1" w:rsidR="001065B6" w:rsidRPr="00F45317" w:rsidRDefault="003E0AAF" w:rsidP="009D6489">
      <w:pPr>
        <w:shd w:val="clear" w:color="auto" w:fill="FFFFFF"/>
        <w:tabs>
          <w:tab w:val="start" w:pos="57.25pt"/>
        </w:tabs>
        <w:jc w:val="both"/>
        <w:rPr>
          <w:b/>
          <w:bCs/>
        </w:rPr>
      </w:pPr>
      <w:r w:rsidRPr="00F45317">
        <w:rPr>
          <w:b/>
        </w:rPr>
        <w:t>Акционерное о</w:t>
      </w:r>
      <w:r w:rsidR="008975C0" w:rsidRPr="00F45317">
        <w:rPr>
          <w:b/>
        </w:rPr>
        <w:t xml:space="preserve">бщество </w:t>
      </w:r>
      <w:r w:rsidR="00A40DE7" w:rsidRPr="00F45317">
        <w:rPr>
          <w:b/>
        </w:rPr>
        <w:t>«Российский аукционный дом»</w:t>
      </w:r>
      <w:r w:rsidR="008975C0" w:rsidRPr="00F45317">
        <w:rPr>
          <w:b/>
        </w:rPr>
        <w:t>,</w:t>
      </w:r>
      <w:r w:rsidR="008975C0" w:rsidRPr="00F45317">
        <w:t xml:space="preserve"> именуемое в дальнейшем «</w:t>
      </w:r>
      <w:r w:rsidRPr="00F45317">
        <w:t>Оператор электронной площадки</w:t>
      </w:r>
      <w:r w:rsidR="008975C0" w:rsidRPr="00F45317">
        <w:t>», в лице</w:t>
      </w:r>
      <w:r w:rsidR="00862858" w:rsidRPr="00F45317">
        <w:t xml:space="preserve"> </w:t>
      </w:r>
      <w:r w:rsidR="00BE224C" w:rsidRPr="00F45317">
        <w:t xml:space="preserve">Руководителя департамента по управлению и развитию электронной торговой площадки (ЭТП) </w:t>
      </w:r>
      <w:proofErr w:type="spellStart"/>
      <w:r w:rsidR="00BE224C" w:rsidRPr="00F45317">
        <w:t>Канцеровой</w:t>
      </w:r>
      <w:proofErr w:type="spellEnd"/>
      <w:r w:rsidR="00BE224C" w:rsidRPr="00F45317">
        <w:t xml:space="preserve"> Елены Владимировны</w:t>
      </w:r>
      <w:r w:rsidR="0020431F" w:rsidRPr="00F45317">
        <w:t>, действующе</w:t>
      </w:r>
      <w:r w:rsidR="00BE224C" w:rsidRPr="00F45317">
        <w:t>й</w:t>
      </w:r>
      <w:r w:rsidR="0020431F" w:rsidRPr="00F45317">
        <w:t xml:space="preserve"> на основании Доверенности </w:t>
      </w:r>
      <w:r w:rsidR="00F60438" w:rsidRPr="00F45317">
        <w:t xml:space="preserve">от </w:t>
      </w:r>
      <w:r w:rsidR="00E812C5" w:rsidRPr="00F45317">
        <w:t>11.01.2021 № Д-047</w:t>
      </w:r>
      <w:r w:rsidR="00E75400" w:rsidRPr="00F45317">
        <w:t xml:space="preserve"> </w:t>
      </w:r>
      <w:r w:rsidR="007B764E" w:rsidRPr="00F45317">
        <w:t>и присоединивш</w:t>
      </w:r>
      <w:r w:rsidR="00F62887" w:rsidRPr="00F45317">
        <w:t>ийся</w:t>
      </w:r>
      <w:r w:rsidR="00754546" w:rsidRPr="00F45317">
        <w:t xml:space="preserve"> </w:t>
      </w:r>
      <w:r w:rsidRPr="00F45317">
        <w:t>к у</w:t>
      </w:r>
      <w:r w:rsidR="00754546" w:rsidRPr="00F45317">
        <w:t>словиям настоящего договора</w:t>
      </w:r>
      <w:r w:rsidRPr="00F45317">
        <w:rPr>
          <w:bCs/>
          <w:shd w:val="clear" w:color="auto" w:fill="FFFFFF"/>
          <w:lang w:bidi="ru-RU"/>
        </w:rPr>
        <w:t xml:space="preserve"> </w:t>
      </w:r>
      <w:r w:rsidR="00F45317" w:rsidRPr="00F45317">
        <w:rPr>
          <w:bCs/>
          <w:shd w:val="clear" w:color="auto" w:fill="FFFFFF"/>
          <w:lang w:bidi="ru-RU"/>
        </w:rPr>
        <w:t>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</w:t>
      </w:r>
      <w:r w:rsidR="009E520E" w:rsidRPr="00F45317">
        <w:rPr>
          <w:b/>
          <w:color w:val="auto"/>
        </w:rPr>
        <w:t xml:space="preserve">, </w:t>
      </w:r>
      <w:r w:rsidR="00E74F7E" w:rsidRPr="00F45317">
        <w:rPr>
          <w:b/>
          <w:color w:val="auto"/>
        </w:rPr>
        <w:t>именуем</w:t>
      </w:r>
      <w:r w:rsidR="00F45317" w:rsidRPr="00F45317">
        <w:rPr>
          <w:b/>
          <w:color w:val="auto"/>
        </w:rPr>
        <w:t>ый</w:t>
      </w:r>
      <w:r w:rsidR="00E74F7E" w:rsidRPr="00F45317">
        <w:rPr>
          <w:b/>
          <w:color w:val="auto"/>
        </w:rPr>
        <w:t xml:space="preserve"> </w:t>
      </w:r>
      <w:r w:rsidR="009E520E" w:rsidRPr="00F45317">
        <w:rPr>
          <w:b/>
          <w:color w:val="auto"/>
        </w:rPr>
        <w:t>в дальнейшем «Организатор торгов»</w:t>
      </w:r>
      <w:r w:rsidR="00A00E67" w:rsidRPr="00F45317">
        <w:rPr>
          <w:bCs/>
          <w:color w:val="auto"/>
          <w:shd w:val="clear" w:color="auto" w:fill="FFFFFF"/>
          <w:lang w:bidi="ru-RU"/>
        </w:rPr>
        <w:t>,</w:t>
      </w:r>
      <w:r w:rsidR="009B735E" w:rsidRPr="00F45317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F45317">
        <w:rPr>
          <w:bCs/>
          <w:shd w:val="clear" w:color="auto" w:fill="FFFFFF"/>
          <w:lang w:bidi="ru-RU"/>
        </w:rPr>
        <w:t xml:space="preserve"> </w:t>
      </w:r>
      <w:r w:rsidR="00754546" w:rsidRPr="00F45317">
        <w:t>и</w:t>
      </w:r>
      <w:r w:rsidR="00887769" w:rsidRPr="00F45317">
        <w:t xml:space="preserve"> </w:t>
      </w:r>
      <w:r w:rsidR="00754546" w:rsidRPr="00F45317">
        <w:t>присоединившийся к настоящему Договору</w:t>
      </w:r>
      <w:r w:rsidR="0019404D" w:rsidRPr="00F45317">
        <w:rPr>
          <w:b/>
          <w:bCs/>
        </w:rPr>
        <w:t xml:space="preserve"> </w:t>
      </w:r>
      <w:r w:rsidR="004543D2" w:rsidRPr="00F45317">
        <w:t>п</w:t>
      </w:r>
      <w:r w:rsidR="000D5369" w:rsidRPr="00F45317">
        <w:t>ретендент</w:t>
      </w:r>
      <w:r w:rsidR="000D5369" w:rsidRPr="00F45317">
        <w:rPr>
          <w:b/>
        </w:rPr>
        <w:t xml:space="preserve"> </w:t>
      </w:r>
      <w:r w:rsidR="00754546" w:rsidRPr="00F45317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F45317">
        <w:t xml:space="preserve">на </w:t>
      </w:r>
      <w:r w:rsidR="001065B6" w:rsidRPr="00F45317">
        <w:t>участие в торгах по продаже</w:t>
      </w:r>
      <w:r w:rsidR="0019404D" w:rsidRPr="00F45317">
        <w:t xml:space="preserve"> </w:t>
      </w:r>
      <w:r w:rsidR="002B267B" w:rsidRPr="00F45317">
        <w:rPr>
          <w:color w:val="333333"/>
        </w:rPr>
        <w:t xml:space="preserve">Лот №1 - </w:t>
      </w:r>
      <w:bookmarkStart w:id="0" w:name="_Hlk211868729"/>
      <w:r w:rsidR="003C4B44" w:rsidRPr="003C4B44">
        <w:rPr>
          <w:rFonts w:eastAsia="Calibri"/>
          <w:color w:val="auto"/>
          <w:lang w:eastAsia="en-US"/>
        </w:rPr>
        <w:t xml:space="preserve">транспортное средство: </w:t>
      </w:r>
      <w:proofErr w:type="spellStart"/>
      <w:r w:rsidR="003C4B44" w:rsidRPr="003C4B44">
        <w:rPr>
          <w:rFonts w:eastAsia="Calibri"/>
          <w:color w:val="auto"/>
          <w:lang w:eastAsia="en-US"/>
        </w:rPr>
        <w:t>Skoda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 </w:t>
      </w:r>
      <w:proofErr w:type="spellStart"/>
      <w:r w:rsidR="003C4B44" w:rsidRPr="003C4B44">
        <w:rPr>
          <w:rFonts w:eastAsia="Calibri"/>
          <w:color w:val="auto"/>
          <w:lang w:eastAsia="en-US"/>
        </w:rPr>
        <w:t>Octavia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, Идентификационный номер (VIN номер): XW8DA11Z3CK253683, Год выпуска: 2011 </w:t>
      </w:r>
      <w:proofErr w:type="spellStart"/>
      <w:r w:rsidR="003C4B44" w:rsidRPr="003C4B44">
        <w:rPr>
          <w:rFonts w:eastAsia="Calibri"/>
          <w:color w:val="auto"/>
          <w:lang w:eastAsia="en-US"/>
        </w:rPr>
        <w:t>гос.номер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 М317НО196</w:t>
      </w:r>
      <w:r w:rsidR="00D36AAA" w:rsidRPr="00F45317">
        <w:rPr>
          <w:rFonts w:eastAsia="Calibri"/>
          <w:color w:val="auto"/>
          <w:lang w:eastAsia="en-US"/>
        </w:rPr>
        <w:t xml:space="preserve"> </w:t>
      </w:r>
      <w:bookmarkEnd w:id="0"/>
      <w:r w:rsidR="001065B6" w:rsidRPr="00F45317">
        <w:t>в ходе процедуры банкротства</w:t>
      </w:r>
      <w:r w:rsidR="00754546" w:rsidRPr="00F45317">
        <w:t xml:space="preserve"> </w:t>
      </w:r>
      <w:proofErr w:type="spellStart"/>
      <w:r w:rsidR="003C4B44" w:rsidRPr="003C4B44">
        <w:rPr>
          <w:color w:val="333333"/>
        </w:rPr>
        <w:t>Новоселов</w:t>
      </w:r>
      <w:r w:rsidR="003C4B44">
        <w:rPr>
          <w:color w:val="333333"/>
        </w:rPr>
        <w:t>ой</w:t>
      </w:r>
      <w:proofErr w:type="spellEnd"/>
      <w:r w:rsidR="003C4B44" w:rsidRPr="003C4B44">
        <w:rPr>
          <w:color w:val="333333"/>
        </w:rPr>
        <w:t xml:space="preserve"> Оксан</w:t>
      </w:r>
      <w:r w:rsidR="003C4B44">
        <w:rPr>
          <w:color w:val="333333"/>
        </w:rPr>
        <w:t>ы</w:t>
      </w:r>
      <w:r w:rsidR="003C4B44" w:rsidRPr="003C4B44">
        <w:rPr>
          <w:color w:val="333333"/>
        </w:rPr>
        <w:t xml:space="preserve"> </w:t>
      </w:r>
      <w:proofErr w:type="spellStart"/>
      <w:r w:rsidR="003C4B44" w:rsidRPr="003C4B44">
        <w:rPr>
          <w:color w:val="333333"/>
        </w:rPr>
        <w:t>Рафисовн</w:t>
      </w:r>
      <w:r w:rsidR="003C4B44">
        <w:rPr>
          <w:color w:val="333333"/>
        </w:rPr>
        <w:t>ы</w:t>
      </w:r>
      <w:proofErr w:type="spellEnd"/>
      <w:r w:rsidR="003C4B44" w:rsidRPr="003C4B44">
        <w:rPr>
          <w:color w:val="333333"/>
        </w:rPr>
        <w:t xml:space="preserve"> (23.03.1974 г.р., место рождения: гор. Березники Пермской обл., СНИЛС 025-783-381-70, ИНН 663800037345, адрес: 620039, Свердловская обл., г. Екатеринбург, пер. Суворовский, д. 3, ком. 309)</w:t>
      </w:r>
      <w:r w:rsidR="001065B6" w:rsidRPr="00F45317">
        <w:t xml:space="preserve">, именуемый в дальнейшем </w:t>
      </w:r>
      <w:r w:rsidR="001065B6" w:rsidRPr="00F45317">
        <w:rPr>
          <w:b/>
        </w:rPr>
        <w:t>«Претендент»,</w:t>
      </w:r>
      <w:r w:rsidRPr="00F45317">
        <w:rPr>
          <w:b/>
        </w:rPr>
        <w:t xml:space="preserve"> </w:t>
      </w:r>
      <w:r w:rsidRPr="00F45317">
        <w:t>совместно именуемые «Стороны»,</w:t>
      </w:r>
      <w:r w:rsidR="001065B6" w:rsidRPr="00F45317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D9E2020" w14:textId="5B2F21BC" w:rsidR="001065B6" w:rsidRPr="00376C4F" w:rsidRDefault="001065B6" w:rsidP="0076639B">
      <w:pPr>
        <w:ind w:firstLine="28.35pt"/>
        <w:jc w:val="both"/>
      </w:pPr>
      <w:r w:rsidRPr="00F45317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F45317">
        <w:t xml:space="preserve">в торгах </w:t>
      </w:r>
      <w:r w:rsidR="00130B96" w:rsidRPr="00F45317">
        <w:t xml:space="preserve">в </w:t>
      </w:r>
      <w:r w:rsidR="005174AF" w:rsidRPr="00F45317">
        <w:t xml:space="preserve">форме </w:t>
      </w:r>
      <w:r w:rsidR="00EF291A">
        <w:t>публичного предложения</w:t>
      </w:r>
      <w:r w:rsidR="004316E9" w:rsidRPr="00F45317">
        <w:t xml:space="preserve"> </w:t>
      </w:r>
      <w:r w:rsidR="00B16E0C" w:rsidRPr="00F45317">
        <w:t xml:space="preserve">по продаже </w:t>
      </w:r>
      <w:r w:rsidR="002B267B" w:rsidRPr="00F45317">
        <w:rPr>
          <w:color w:val="333333"/>
        </w:rPr>
        <w:t xml:space="preserve">Лот №1 </w:t>
      </w:r>
      <w:r w:rsidR="003C4B44" w:rsidRPr="003C4B44">
        <w:rPr>
          <w:rFonts w:eastAsia="Calibri"/>
          <w:color w:val="auto"/>
          <w:lang w:eastAsia="en-US"/>
        </w:rPr>
        <w:t xml:space="preserve">транспортное средство: </w:t>
      </w:r>
      <w:proofErr w:type="spellStart"/>
      <w:r w:rsidR="003C4B44" w:rsidRPr="003C4B44">
        <w:rPr>
          <w:rFonts w:eastAsia="Calibri"/>
          <w:color w:val="auto"/>
          <w:lang w:eastAsia="en-US"/>
        </w:rPr>
        <w:t>Skoda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 </w:t>
      </w:r>
      <w:proofErr w:type="spellStart"/>
      <w:r w:rsidR="003C4B44" w:rsidRPr="003C4B44">
        <w:rPr>
          <w:rFonts w:eastAsia="Calibri"/>
          <w:color w:val="auto"/>
          <w:lang w:eastAsia="en-US"/>
        </w:rPr>
        <w:t>Octavia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, Идентификационный номер (VIN номер): XW8DA11Z3CK253683, Год выпуска: 2011 </w:t>
      </w:r>
      <w:proofErr w:type="spellStart"/>
      <w:r w:rsidR="003C4B44" w:rsidRPr="003C4B44">
        <w:rPr>
          <w:rFonts w:eastAsia="Calibri"/>
          <w:color w:val="auto"/>
          <w:lang w:eastAsia="en-US"/>
        </w:rPr>
        <w:t>гос.номер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 М317НО196</w:t>
      </w:r>
      <w:r w:rsidR="00D36AAA" w:rsidRPr="00F45317">
        <w:rPr>
          <w:color w:val="333333"/>
        </w:rPr>
        <w:t xml:space="preserve"> </w:t>
      </w:r>
      <w:r w:rsidR="0019404D" w:rsidRPr="00F45317">
        <w:rPr>
          <w:color w:val="auto"/>
        </w:rPr>
        <w:t>(далее –</w:t>
      </w:r>
      <w:r w:rsidR="00754546" w:rsidRPr="00F45317">
        <w:rPr>
          <w:color w:val="auto"/>
        </w:rPr>
        <w:t xml:space="preserve"> </w:t>
      </w:r>
      <w:r w:rsidR="0019404D" w:rsidRPr="00F45317">
        <w:rPr>
          <w:color w:val="auto"/>
        </w:rPr>
        <w:t xml:space="preserve">Имущество), </w:t>
      </w:r>
      <w:r w:rsidRPr="00F45317">
        <w:rPr>
          <w:color w:val="auto"/>
        </w:rPr>
        <w:t xml:space="preserve">перечисляет денежные средства </w:t>
      </w:r>
      <w:r w:rsidRPr="00F45317">
        <w:rPr>
          <w:b/>
          <w:color w:val="auto"/>
        </w:rPr>
        <w:t xml:space="preserve">в размере </w:t>
      </w:r>
      <w:r w:rsidR="003C4B44">
        <w:rPr>
          <w:b/>
          <w:color w:val="auto"/>
        </w:rPr>
        <w:t>10</w:t>
      </w:r>
      <w:r w:rsidR="004316E9" w:rsidRPr="00F45317">
        <w:rPr>
          <w:b/>
          <w:color w:val="auto"/>
        </w:rPr>
        <w:t xml:space="preserve">% </w:t>
      </w:r>
      <w:r w:rsidR="00EF291A" w:rsidRPr="00EF291A">
        <w:rPr>
          <w:b/>
          <w:color w:val="auto"/>
        </w:rPr>
        <w:t>от цены лота на соответствующем этапе торгов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6434A8F" w14:textId="77777777" w:rsidR="001065B6" w:rsidRPr="004B4B07" w:rsidRDefault="001065B6" w:rsidP="008B2993">
      <w:pPr>
        <w:ind w:firstLine="28.35pt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F17123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C6EF2BE" w14:textId="77777777" w:rsidR="00F352AD" w:rsidRPr="004B4B07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proofErr w:type="gramStart"/>
      <w:r w:rsidR="008B2993">
        <w:rPr>
          <w:color w:val="auto"/>
        </w:rPr>
        <w:t>Оператора электронной площадки</w:t>
      </w:r>
      <w:proofErr w:type="gramEnd"/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</w:t>
      </w:r>
      <w:r w:rsidR="00333997" w:rsidRPr="00333997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572E026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F45317">
        <w:rPr>
          <w:color w:val="auto"/>
        </w:rPr>
        <w:t>Пищальников В.В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B44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5705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6AAA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291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5317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8</cp:revision>
  <dcterms:created xsi:type="dcterms:W3CDTF">2025-09-03T12:50:00Z</dcterms:created>
  <dcterms:modified xsi:type="dcterms:W3CDTF">2026-04-21T08:31:00Z</dcterms:modified>
</cp:coreProperties>
</file>