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/>
      </w:pPr>
      <w:r>
        <w:rPr>
          <w:sz w:val="28"/>
          <w:szCs w:val="28"/>
        </w:rPr>
        <w:t>Извещение о проведении открытого аукциона в электронной форме по продаже имущества АО</w:t>
      </w:r>
      <w:r>
        <w:rPr>
          <w:sz w:val="28"/>
          <w:szCs w:val="28"/>
          <w:u w:val="none"/>
        </w:rPr>
        <w:t xml:space="preserve"> «Загорская ГАЭС-2»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i/>
          <w:sz w:val="26"/>
          <w:szCs w:val="26"/>
        </w:rPr>
        <w:t>:</w:t>
      </w:r>
      <w:r>
        <w:rPr>
          <w:b w:val="false"/>
          <w:sz w:val="26"/>
          <w:szCs w:val="26"/>
        </w:rPr>
        <w:t xml:space="preserve"> </w:t>
      </w:r>
      <w:r>
        <w:rPr>
          <w:b w:val="false"/>
          <w:sz w:val="26"/>
          <w:szCs w:val="26"/>
          <w:shd w:fill="auto" w:val="clear"/>
        </w:rPr>
        <w:t xml:space="preserve">Акционерное общество «Загорская ГАЭС-2» (АО «Загорская ГАЭС-2») Место нахождения: </w:t>
      </w:r>
      <w:r>
        <w:rPr>
          <w:b w:val="false"/>
          <w:bCs/>
          <w:sz w:val="26"/>
          <w:szCs w:val="26"/>
          <w:shd w:fill="auto" w:val="clear"/>
        </w:rPr>
        <w:t xml:space="preserve">Российская Федерация, Московская область, г. Сергиев Посад. </w:t>
      </w:r>
      <w:r>
        <w:rPr>
          <w:b w:val="false"/>
          <w:sz w:val="26"/>
          <w:szCs w:val="26"/>
          <w:shd w:fill="auto" w:val="clear"/>
        </w:rPr>
        <w:t xml:space="preserve">Почтовый адрес: </w:t>
      </w:r>
      <w:r>
        <w:rPr>
          <w:b w:val="false"/>
          <w:bCs/>
          <w:sz w:val="26"/>
          <w:szCs w:val="26"/>
          <w:shd w:fill="auto" w:val="clear"/>
        </w:rPr>
        <w:t>141342, Российская Федерация, Московская область, г. Сергиев Посад, рабочий поселок Богородское, д. 101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  <w:shd w:fill="auto" w:val="clear"/>
        </w:rPr>
        <w:t xml:space="preserve">Адрес электронной почты: </w:t>
      </w:r>
      <w:r>
        <w:rPr>
          <w:rStyle w:val="Hyperlink"/>
          <w:b w:val="false"/>
          <w:sz w:val="26"/>
          <w:szCs w:val="26"/>
          <w:shd w:fill="auto" w:val="clear"/>
        </w:rPr>
        <w:t>zagaes2@rushydro.ru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567" w:right="0" w:hanging="0"/>
        <w:jc w:val="both"/>
        <w:rPr>
          <w:highlight w:val="none"/>
          <w:shd w:fill="auto" w:val="clear"/>
        </w:rPr>
      </w:pPr>
      <w:r>
        <w:rPr>
          <w:b w:val="false"/>
          <w:sz w:val="26"/>
          <w:szCs w:val="26"/>
          <w:shd w:fill="auto" w:val="clear"/>
        </w:rPr>
        <w:t>Контактный телефон: +7 496 545 45 00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Tableheader"/>
        <w:widowControl w:val="false"/>
        <w:ind w:firstLine="540"/>
        <w:rPr>
          <w:rStyle w:val="Style7"/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 xml:space="preserve"> </w:t>
      </w:r>
      <w:r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  <w:t>Движимое и недвижимое имущество Комплекса объектов производственной площадки.</w:t>
      </w:r>
    </w:p>
    <w:p>
      <w:pPr>
        <w:pStyle w:val="Tableheader"/>
        <w:widowControl w:val="false"/>
        <w:ind w:firstLine="540"/>
        <w:rPr/>
      </w:pPr>
      <w:r>
        <w:rPr>
          <w:rStyle w:val="Style7"/>
          <w:rFonts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  <w:t>1.Недвижимое имущество:</w:t>
      </w:r>
    </w:p>
    <w:tbl>
      <w:tblPr>
        <w:tblStyle w:val="2110"/>
        <w:tblW w:w="9621" w:type="dxa"/>
        <w:jc w:val="left"/>
        <w:tblInd w:w="-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7"/>
        <w:gridCol w:w="5308"/>
        <w:gridCol w:w="3886"/>
      </w:tblGrid>
      <w:tr>
        <w:trPr>
          <w:tblHeader w:val="true"/>
          <w:trHeight w:val="335" w:hRule="atLeast"/>
        </w:trPr>
        <w:tc>
          <w:tcPr>
            <w:tcW w:w="427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5308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недвижимого имущества (сведения ЕГРН)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0" w:right="-57" w:hanging="0"/>
              <w:jc w:val="center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Кадастровый номер</w:t>
            </w:r>
          </w:p>
        </w:tc>
      </w:tr>
      <w:tr>
        <w:trPr>
          <w:trHeight w:val="151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Газопровод высокого давления для котельной Стройбазы № 1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50:05:0100136:372</w:t>
            </w:r>
          </w:p>
        </w:tc>
      </w:tr>
      <w:tr>
        <w:trPr>
          <w:trHeight w:val="145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Блочно-модульное здание котельной. Тепловой пункт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bidi w:val="0"/>
              <w:spacing w:before="0" w:after="0"/>
              <w:ind w:left="340" w:right="57" w:hanging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50:05:0100136:1314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резервно- топливное хозяйство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50:05:0020101:247</w:t>
            </w:r>
          </w:p>
        </w:tc>
      </w:tr>
      <w:tr>
        <w:trPr>
          <w:trHeight w:val="161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дымовая труба, дымоходы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50:05:0100134:3787</w:t>
            </w:r>
          </w:p>
        </w:tc>
      </w:tr>
      <w:tr>
        <w:trPr>
          <w:trHeight w:val="384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изготовления сборного железобетона с подкрановыми путями)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50:05:0100137:510</w:t>
            </w:r>
          </w:p>
        </w:tc>
      </w:tr>
      <w:tr>
        <w:trPr>
          <w:trHeight w:val="42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склад цемента (силосные банки): 4 силосные банки емкостью по 1000 т и 6 силосных банок емкостью по 250 т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50:05:0100137:514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бетонного хозяйства)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50:05:0100145:374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 xml:space="preserve"> 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компрессорная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50:05:0100137:182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склад инертных материалов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50:05:0100137:180</w:t>
            </w:r>
          </w:p>
        </w:tc>
      </w:tr>
      <w:tr>
        <w:trPr>
          <w:trHeight w:val="1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здание стройлаборатории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50:05:0100137:167</w:t>
            </w:r>
          </w:p>
        </w:tc>
      </w:tr>
      <w:tr>
        <w:trPr>
          <w:trHeight w:val="70" w:hRule="atLeast"/>
        </w:trPr>
        <w:tc>
          <w:tcPr>
            <w:tcW w:w="4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530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бетонного хозяйства: галерея</w:t>
            </w:r>
          </w:p>
        </w:tc>
        <w:tc>
          <w:tcPr>
            <w:tcW w:w="3886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50:05:0100134:686</w:t>
            </w:r>
          </w:p>
        </w:tc>
      </w:tr>
    </w:tbl>
    <w:p>
      <w:pPr>
        <w:pStyle w:val="Normal"/>
        <w:ind w:firstLine="540"/>
        <w:rPr/>
      </w:pPr>
      <w:r>
        <w:rPr>
          <w:rStyle w:val="Style7"/>
          <w:rFonts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  <w:t>2. Движимое имущество:</w:t>
      </w:r>
    </w:p>
    <w:tbl>
      <w:tblPr>
        <w:tblStyle w:val="2110"/>
        <w:tblW w:w="10300" w:type="dxa"/>
        <w:jc w:val="left"/>
        <w:tblInd w:w="-2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0"/>
        <w:gridCol w:w="9689"/>
      </w:tblGrid>
      <w:tr>
        <w:trPr>
          <w:tblHeader w:val="true"/>
          <w:trHeight w:val="150" w:hRule="atLeast"/>
        </w:trPr>
        <w:tc>
          <w:tcPr>
            <w:tcW w:w="610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968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движимого имущества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Автомобильные весы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Административно бытовой комплекс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Конденсатонасосная.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Лабораторно-администратиное здание. Бетонное хозяйство.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Наружное освещение территории бетонного хозяйства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Бетонный завод № 3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Временные бункера приема инертных материалов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Промежуточный склад заполнителей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Узел перегрузки.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Бетонный завод №1. Бетонное хозяйство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Бетонный завод № 2HZS-150.Бетонное хозяйство.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12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Рециклинговая установка.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13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Эстакада технологических трубопроводов. Бетонное хозяйство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14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Ограждение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15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Хозяйственно-бытовая канализация.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16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Хозяйственно-питьевой водопровод.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17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Очистные сооружения и ливневая канализация Стройбазы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18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Сети теплоснабжения и горячего водоснабжения.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19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Технический водопровод от К1 сущ.до бетонных заводов №№ 1.2.3.(2 этап)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20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Наружные сети водопровода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21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Наружные сети канализации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22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Наружное освещение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23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Электроснабжение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24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Подъездная автодорога  к бетонному заводу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25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Подъездная автодорога к складу заполнителей</w:t>
            </w:r>
          </w:p>
        </w:tc>
      </w:tr>
      <w:tr>
        <w:trPr>
          <w:trHeight w:val="247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26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Проезды и площадки территории бетонного хозяйства.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27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Подъездная и внутриплощадочная автодорога, площадка котельной. Стройбаза № 1</w:t>
            </w:r>
          </w:p>
        </w:tc>
      </w:tr>
      <w:tr>
        <w:trPr>
          <w:trHeight w:val="64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28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Бетонное хозяйство. РММ и СБК</w:t>
            </w:r>
          </w:p>
        </w:tc>
      </w:tr>
      <w:tr>
        <w:trPr>
          <w:trHeight w:val="209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29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120" w:after="0"/>
              <w:jc w:val="left"/>
              <w:rPr>
                <w:b w:val="false"/>
                <w:bCs w:val="false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16"/>
                <w:szCs w:val="26"/>
                <w:lang w:val="ru-RU" w:eastAsia="en-US" w:bidi="ar-SA"/>
              </w:rPr>
              <w:t>Оборудование котельной на природном газе. Стройбаза № 1</w:t>
            </w:r>
          </w:p>
        </w:tc>
      </w:tr>
      <w:tr>
        <w:trPr>
          <w:trHeight w:val="57" w:hRule="atLeast"/>
        </w:trPr>
        <w:tc>
          <w:tcPr>
            <w:tcW w:w="61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30</w:t>
            </w:r>
          </w:p>
        </w:tc>
        <w:tc>
          <w:tcPr>
            <w:tcW w:w="968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Прочие машины и оборудование (44 шт.)</w:t>
            </w:r>
          </w:p>
        </w:tc>
      </w:tr>
    </w:tbl>
    <w:p>
      <w:pPr>
        <w:pStyle w:val="Normal"/>
        <w:ind w:hanging="0"/>
        <w:rPr>
          <w:rStyle w:val="Style7"/>
          <w:rFonts w:ascii="Times New Roman" w:hAnsi="Times New Roman"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sz w:val="20"/>
          <w:szCs w:val="20"/>
          <w:shd w:fill="auto" w:val="clear"/>
          <w:lang w:val="ru-RU" w:eastAsia="ru-RU" w:bidi="ar-SA"/>
        </w:rPr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Адрес местонахождения предмета продажи:</w:t>
      </w:r>
      <w:r>
        <w:rPr>
          <w:shd w:fill="auto" w:val="clear"/>
        </w:rPr>
        <w:t xml:space="preserve"> </w:t>
      </w:r>
      <w:r>
        <w:rPr>
          <w:rFonts w:eastAsia="Times New Roman" w:cs="Times New Roman"/>
          <w:i/>
          <w:color w:val="000000"/>
          <w:kern w:val="0"/>
          <w:sz w:val="26"/>
          <w:szCs w:val="26"/>
          <w:shd w:fill="auto" w:val="clear"/>
          <w:lang w:val="ru-RU" w:eastAsia="ru-RU" w:bidi="ar-SA"/>
        </w:rPr>
        <w:t>Московская область, Сергиево-Посадский городской округ, пос. Богородское.</w:t>
      </w:r>
    </w:p>
    <w:p>
      <w:pPr>
        <w:pStyle w:val="Normal"/>
        <w:ind w:firstLine="540"/>
        <w:rPr/>
      </w:pPr>
      <w:r>
        <w:rPr>
          <w:b/>
          <w:i/>
          <w:shd w:fill="auto" w:val="clear"/>
        </w:rPr>
        <w:t>Краткое описание Предмета продажи:</w:t>
      </w:r>
      <w:r>
        <w:rPr>
          <w:shd w:fill="auto" w:val="clear"/>
        </w:rPr>
        <w:t xml:space="preserve"> </w:t>
      </w:r>
    </w:p>
    <w:p>
      <w:pPr>
        <w:pStyle w:val="Normal"/>
        <w:ind w:firstLine="540"/>
        <w:rPr>
          <w:rStyle w:val="Style7"/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0"/>
          <w:sz w:val="26"/>
          <w:szCs w:val="26"/>
          <w:shd w:fill="auto" w:val="clear"/>
          <w:lang w:val="ru-RU" w:eastAsia="ru-RU" w:bidi="ar-SA"/>
        </w:rPr>
      </w:r>
    </w:p>
    <w:tbl>
      <w:tblPr>
        <w:tblStyle w:val="2110"/>
        <w:tblW w:w="10027" w:type="dxa"/>
        <w:jc w:val="left"/>
        <w:tblInd w:w="-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3"/>
        <w:gridCol w:w="4445"/>
        <w:gridCol w:w="5019"/>
      </w:tblGrid>
      <w:tr>
        <w:trPr>
          <w:tblHeader w:val="true"/>
          <w:trHeight w:val="795" w:hRule="atLeast"/>
        </w:trPr>
        <w:tc>
          <w:tcPr>
            <w:tcW w:w="563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4445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Наименование объекта недвижимого имущества (сведения ЕГРН)</w:t>
            </w:r>
          </w:p>
        </w:tc>
        <w:tc>
          <w:tcPr>
            <w:tcW w:w="501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Fonts w:eastAsia="Calibri" w:cs="Times New Roman"/>
                <w:b/>
                <w:bCs/>
                <w:kern w:val="0"/>
                <w:sz w:val="16"/>
                <w:szCs w:val="16"/>
                <w:lang w:val="ru-RU" w:eastAsia="en-US" w:bidi="ar-SA"/>
              </w:rPr>
              <w:t>Основная характеристика</w:t>
            </w:r>
          </w:p>
        </w:tc>
      </w:tr>
      <w:tr>
        <w:trPr>
          <w:trHeight w:val="151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Газопровод высокого давления для котельной Стройбазы № 1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Протяженность трассы - 496,1 м.</w:t>
            </w:r>
          </w:p>
        </w:tc>
      </w:tr>
      <w:tr>
        <w:trPr>
          <w:trHeight w:val="145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2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Блочно-модульное здание котельной. Тепловой пункт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Общая площадь - 227 кв.м.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3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резервно- топливное хозяйство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Площадка-204,1 кв.м. Резервуар РГЦ50. Молниеприемник МОГК-15 Трубопровод 55,05 м</w:t>
            </w:r>
          </w:p>
        </w:tc>
      </w:tr>
      <w:tr>
        <w:trPr>
          <w:trHeight w:val="161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4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дымовая труба, дымоходы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-2012 Площадь застройки 12,3 кв.м.</w:t>
            </w:r>
          </w:p>
        </w:tc>
      </w:tr>
      <w:tr>
        <w:trPr>
          <w:trHeight w:val="645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5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изготовления сборного железобетона с подкрановыми путями)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Площадь покрытия -  11150 кв.м.</w:t>
            </w:r>
          </w:p>
        </w:tc>
      </w:tr>
      <w:tr>
        <w:trPr>
          <w:trHeight w:val="645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6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Сооружение: склад цемента (силосные банки): 4 силосные банки емкостью по 1000 т и 6 силосных банок емкостью по 250 т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     4 силосные банки емкостью по 1000 т. 6 силосных банок по 250 т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7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(Площадка бетонного хозяйства)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Площадь покрытия - 7566 кв.м.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 xml:space="preserve">  </w:t>
            </w: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8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компрессорная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-2007  Общая площадь -347,30 кв.м.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9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склад инертных материалов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-2011 Общая площадь -2916,30 кв.м.</w:t>
            </w:r>
          </w:p>
        </w:tc>
      </w:tr>
      <w:tr>
        <w:trPr>
          <w:trHeight w:val="1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10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Здание бетонного хозяйства: здание стройлаборатории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-1984. Общая площадь – 214,9 кв.м.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11</w:t>
            </w:r>
          </w:p>
        </w:tc>
        <w:tc>
          <w:tcPr>
            <w:tcW w:w="444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Сооружение бетонного хозяйства: галерея</w:t>
            </w:r>
          </w:p>
        </w:tc>
        <w:tc>
          <w:tcPr>
            <w:tcW w:w="501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left"/>
              <w:rPr>
                <w:b w:val="false"/>
                <w:bCs w:val="false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16"/>
                <w:szCs w:val="16"/>
                <w:lang w:val="ru-RU" w:eastAsia="en-US" w:bidi="ar-SA"/>
              </w:rPr>
              <w:t>Год ввода в эксплуатацию -1978. Общая площадь – 531,20 кв.м.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 xml:space="preserve">Обременения: </w:t>
      </w:r>
      <w:r>
        <w:rPr>
          <w:rFonts w:eastAsia="Times New Roman" w:cs="Times New Roman"/>
          <w:i/>
          <w:sz w:val="26"/>
          <w:szCs w:val="26"/>
          <w:shd w:fill="auto" w:val="clear"/>
          <w:lang w:eastAsia="ru-RU"/>
        </w:rPr>
        <w:t>отсутствуют</w:t>
      </w: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Начальная цена продажи</w:t>
      </w:r>
      <w:r>
        <w:rPr>
          <w:shd w:fill="auto" w:val="clear"/>
        </w:rPr>
        <w:t xml:space="preserve">: </w:t>
      </w:r>
      <w:r>
        <w:rPr>
          <w:rFonts w:eastAsia="Geneva;Arial"/>
          <w:i/>
          <w:kern w:val="2"/>
          <w:shd w:fill="auto" w:val="clear"/>
        </w:rPr>
        <w:t>164 700 000 (Сто шестьдесят четыре миллиона семьсот тысяч) рублей 00 копеек</w:t>
      </w:r>
      <w:r>
        <w:rPr>
          <w:shd w:fill="auto" w:val="clear"/>
        </w:rPr>
        <w:t xml:space="preserve">, </w:t>
      </w:r>
      <w:r>
        <w:rPr>
          <w:rFonts w:eastAsia="Geneva;Arial" w:cs="Times New Roman"/>
          <w:i/>
          <w:kern w:val="2"/>
          <w:sz w:val="26"/>
          <w:szCs w:val="26"/>
          <w:shd w:fill="auto" w:val="clear"/>
          <w:lang w:eastAsia="ru-RU"/>
        </w:rPr>
        <w:t>в том числе НДС по ставке, установленной пунктом 3 статьи 164 Налогового кодекса РФ.</w:t>
      </w:r>
    </w:p>
    <w:p>
      <w:pPr>
        <w:pStyle w:val="Normal"/>
        <w:tabs>
          <w:tab w:val="clear" w:pos="708"/>
          <w:tab w:val="left" w:pos="426" w:leader="none"/>
        </w:tabs>
        <w:spacing w:before="120" w:after="120"/>
        <w:ind w:firstLine="540"/>
        <w:rPr>
          <w:highlight w:val="none"/>
          <w:shd w:fill="auto" w:val="clear"/>
        </w:rPr>
      </w:pPr>
      <w:r>
        <w:rPr>
          <w:b/>
          <w:i/>
          <w:shd w:fill="auto" w:val="clear"/>
        </w:rPr>
        <w:t>«Шаг» аукциона:</w:t>
      </w:r>
      <w:r>
        <w:rPr>
          <w:shd w:fill="auto" w:val="clear"/>
        </w:rPr>
        <w:t xml:space="preserve">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Шаг аукциона 500 000 (Пятьсот тысяч) рублей 00 копеек ,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highlight w:val="none"/>
          <w:shd w:fill="auto" w:val="clear"/>
        </w:rPr>
      </w:pPr>
      <w:r>
        <w:rPr>
          <w:rFonts w:eastAsia="Times New Roman" w:cs="Times New Roman"/>
          <w:b/>
          <w:i/>
          <w:sz w:val="26"/>
          <w:szCs w:val="26"/>
          <w:shd w:fill="auto" w:val="clear"/>
          <w:lang w:eastAsia="ru-RU"/>
        </w:rPr>
        <w:t xml:space="preserve">Размер задатка: </w:t>
      </w:r>
      <w:r>
        <w:rPr>
          <w:rFonts w:eastAsia="Geneva;Arial" w:cs="Times New Roman"/>
          <w:i/>
          <w:color w:val="000000"/>
          <w:kern w:val="2"/>
          <w:sz w:val="26"/>
          <w:szCs w:val="26"/>
          <w:shd w:fill="auto" w:val="clear"/>
          <w:lang w:val="ru-RU" w:eastAsia="ru-RU" w:bidi="ar-SA"/>
        </w:rPr>
        <w:t>Размер задатка для участия в аукционе составляет  составляет 500 000 (Пятьсот тысяч) рублей 00 копеек, в том числе НДС по ставке, установленной пунктом 3 статьи 164 Налогового кодекса РФ.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 xml:space="preserve">Срок и порядок внесения задатка: </w:t>
      </w:r>
      <w:r>
        <w:rPr/>
        <w:t>с начала приема заявок по</w:t>
      </w:r>
      <w:r>
        <w:rPr>
          <w:b/>
          <w:i/>
        </w:rPr>
        <w:t xml:space="preserve"> «</w:t>
      </w:r>
      <w:r>
        <w:rPr>
          <w:b w:val="false"/>
          <w:bCs w:val="false"/>
          <w:i w:val="false"/>
          <w:iCs w:val="false"/>
        </w:rPr>
        <w:t>1</w:t>
      </w:r>
      <w:r>
        <w:rPr>
          <w:b w:val="false"/>
          <w:bCs w:val="false"/>
        </w:rPr>
        <w:t>3</w:t>
      </w:r>
      <w:r>
        <w:rPr/>
        <w:t>» июня 2026 г.</w:t>
      </w:r>
    </w:p>
    <w:p>
      <w:pPr>
        <w:pStyle w:val="Normal"/>
        <w:ind w:firstLine="540"/>
        <w:rPr/>
      </w:pPr>
      <w:r>
        <w:rPr/>
        <w:t>Информация об условиях внесения задатка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Дата и время начала подачи Заявок</w:t>
      </w:r>
      <w:r>
        <w:rPr/>
        <w:t>: «</w:t>
      </w:r>
      <w:r>
        <w:rPr/>
        <w:t>30</w:t>
      </w:r>
      <w:r>
        <w:rPr>
          <w:shd w:fill="auto" w:val="clear"/>
        </w:rPr>
        <w:t>» апреля 2026 г</w:t>
      </w:r>
      <w:r>
        <w:rPr/>
        <w:t>. в 15 ч. 00 мин. (по местному времени Продавца / Организатора продажи)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окончания подачи Заявок</w:t>
      </w:r>
      <w:r>
        <w:rPr>
          <w:i/>
        </w:rPr>
        <w:t xml:space="preserve">: </w:t>
      </w:r>
      <w:r>
        <w:rPr/>
        <w:t>«</w:t>
      </w:r>
      <w:r>
        <w:rPr>
          <w:shd w:fill="auto" w:val="clear"/>
        </w:rPr>
        <w:t>«13» июня 2026 года в 15 ч. 00 мин.</w:t>
      </w:r>
      <w:r>
        <w:rPr/>
        <w:t xml:space="preserve"> (по местному времени Продавца 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>
          <w:b/>
          <w:i/>
          <w:i/>
        </w:rPr>
      </w:pPr>
      <w:r>
        <w:rPr>
          <w:b/>
          <w:i/>
        </w:rPr>
        <w:t>Дата окончания рассмотрения Заявок</w:t>
      </w:r>
      <w:r>
        <w:rPr>
          <w:i/>
        </w:rPr>
        <w:t xml:space="preserve">: 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«15» июня 2026 года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проведения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>«19» июня 2026 года в 11 ч. 00 мин.</w:t>
      </w:r>
      <w:r>
        <w:rPr/>
        <w:t xml:space="preserve"> (по местному времени Продавца</w:t>
      </w:r>
      <w:r>
        <w:rPr>
          <w:rFonts w:eastAsia="Lucida Sans Unicode"/>
          <w:i/>
          <w:kern w:val="2"/>
          <w:shd w:fill="auto" w:val="clear"/>
        </w:rPr>
        <w:t>)</w:t>
      </w:r>
    </w:p>
    <w:p>
      <w:pPr>
        <w:pStyle w:val="Normal"/>
        <w:ind w:firstLine="540"/>
        <w:rPr/>
      </w:pPr>
      <w:r>
        <w:rPr>
          <w:b/>
          <w:i/>
        </w:rPr>
        <w:t>Время ожидания ценового предложения Участника:</w:t>
      </w:r>
      <w:r>
        <w:rPr/>
        <w:t xml:space="preserve"> 30 (тридцать) минут от времени начала проведения аукциона.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>Дата и время подведения итогов Аукциона:</w:t>
      </w:r>
      <w:r>
        <w:rPr/>
        <w:t xml:space="preserve"> </w:t>
      </w:r>
      <w:r>
        <w:rPr>
          <w:color w:val="000000" w:themeColor="text1"/>
          <w:shd w:fill="auto" w:val="clear"/>
        </w:rPr>
        <w:t xml:space="preserve">«23» июня 2026 </w:t>
      </w:r>
      <w:r>
        <w:rPr/>
        <w:t xml:space="preserve">г. в </w:t>
      </w:r>
      <w:r>
        <w:rPr>
          <w:shd w:fill="auto" w:val="clear"/>
        </w:rPr>
        <w:t>15 ч. 00 мин.</w:t>
      </w:r>
      <w:r>
        <w:rPr/>
        <w:t xml:space="preserve"> (по местному времени Продавца)</w:t>
      </w:r>
    </w:p>
    <w:p>
      <w:pPr>
        <w:pStyle w:val="Normal"/>
        <w:ind w:firstLine="540"/>
        <w:rPr>
          <w:rFonts w:eastAsia="Lucida Sans Unicode"/>
          <w:i/>
          <w:i/>
          <w:kern w:val="2"/>
          <w:shd w:fill="FFFF99" w:val="clear"/>
        </w:rPr>
      </w:pPr>
      <w:r>
        <w:rPr>
          <w:b/>
          <w:i/>
        </w:rPr>
        <w:t xml:space="preserve">Место подведения итогов: </w:t>
      </w:r>
      <w:r>
        <w:rPr/>
        <w:t xml:space="preserve">по адресу Продавца. </w:t>
      </w:r>
    </w:p>
    <w:p>
      <w:pPr>
        <w:pStyle w:val="Normal"/>
        <w:ind w:firstLine="540"/>
        <w:rPr/>
      </w:pPr>
      <w:r>
        <w:rPr>
          <w:b/>
          <w:i/>
        </w:rPr>
        <w:t>Наименование и адрес электронной торговой площадки для подачи Заявок:</w:t>
      </w:r>
      <w:r>
        <w:rPr/>
        <w:t xml:space="preserve"> Электронная торговая площадка Акционерное общество «Российский аукционный дом» (АО «РАД»), </w:t>
      </w:r>
      <w:hyperlink r:id="rId2">
        <w:r>
          <w:rPr>
            <w:rStyle w:val="Hyperlink"/>
            <w:lang w:val="en-US"/>
          </w:rPr>
          <w:t>https</w:t>
        </w:r>
        <w:r>
          <w:rPr>
            <w:rStyle w:val="Hyperlink"/>
          </w:rPr>
          <w:t>://</w:t>
        </w:r>
        <w:r>
          <w:rPr>
            <w:rStyle w:val="Hyperlink"/>
            <w:lang w:val="en-US"/>
          </w:rPr>
          <w:t>lot</w:t>
        </w:r>
        <w:r>
          <w:rPr>
            <w:rStyle w:val="Hyperlink"/>
          </w:rPr>
          <w:t>-</w:t>
        </w:r>
        <w:r>
          <w:rPr>
            <w:rStyle w:val="Hyperlink"/>
            <w:lang w:val="en-US"/>
          </w:rPr>
          <w:t>online</w:t>
        </w:r>
        <w:r>
          <w:rPr>
            <w:rStyle w:val="Hyperlink"/>
          </w:rPr>
          <w:t>.</w:t>
        </w:r>
      </w:hyperlink>
    </w:p>
    <w:p>
      <w:pPr>
        <w:pStyle w:val="Normal"/>
        <w:ind w:firstLine="540"/>
        <w:rPr/>
      </w:pPr>
      <w:r>
        <w:rPr>
          <w:b/>
          <w:i/>
        </w:rPr>
        <w:t>Порядок и форма подачи Заявок:</w:t>
      </w:r>
      <w:r>
        <w:rPr/>
        <w:t xml:space="preserve"> информация приведена в Документации о продаже.</w:t>
      </w:r>
    </w:p>
    <w:p>
      <w:pPr>
        <w:pStyle w:val="Normal"/>
        <w:ind w:firstLine="540"/>
        <w:rPr/>
      </w:pPr>
      <w:r>
        <w:rPr>
          <w:b/>
          <w:i/>
        </w:rPr>
        <w:t>Участники Аукциона</w:t>
      </w:r>
      <w:r>
        <w:rPr/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b w:val="false"/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/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b w:val="false"/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ableheader"/>
        <w:widowControl w:val="false"/>
        <w:ind w:firstLine="630"/>
        <w:jc w:val="center"/>
        <w:rPr>
          <w:b w:val="false"/>
          <w:sz w:val="26"/>
          <w:szCs w:val="26"/>
        </w:rPr>
      </w:pPr>
      <w:r>
        <w:rPr>
          <w:sz w:val="26"/>
          <w:szCs w:val="26"/>
          <w:u w:val="single"/>
        </w:rPr>
        <w:t xml:space="preserve">Документация о продаже официально опубликована на сайте электронной торговой площадки в сети «Интернет» </w:t>
      </w:r>
      <w:hyperlink r:id="rId3">
        <w:r>
          <w:rPr>
            <w:rStyle w:val="Hyperlink"/>
            <w:b w:val="false"/>
            <w:sz w:val="26"/>
            <w:szCs w:val="26"/>
            <w:lang w:val="en-US"/>
          </w:rPr>
          <w:t>https</w:t>
        </w:r>
        <w:r>
          <w:rPr>
            <w:rStyle w:val="Hyperlink"/>
            <w:b w:val="false"/>
            <w:sz w:val="26"/>
            <w:szCs w:val="26"/>
          </w:rPr>
          <w:t>://</w:t>
        </w:r>
        <w:r>
          <w:rPr>
            <w:rStyle w:val="Hyperlink"/>
            <w:b w:val="false"/>
            <w:sz w:val="26"/>
            <w:szCs w:val="26"/>
            <w:lang w:val="en-US"/>
          </w:rPr>
          <w:t>lot</w:t>
        </w:r>
        <w:r>
          <w:rPr>
            <w:rStyle w:val="Hyperlink"/>
            <w:b w:val="false"/>
            <w:sz w:val="26"/>
            <w:szCs w:val="26"/>
          </w:rPr>
          <w:t>-</w:t>
        </w:r>
        <w:r>
          <w:rPr>
            <w:rStyle w:val="Hyperlink"/>
            <w:b w:val="false"/>
            <w:sz w:val="26"/>
            <w:szCs w:val="26"/>
            <w:lang w:val="en-US"/>
          </w:rPr>
          <w:t>online</w:t>
        </w:r>
        <w:r>
          <w:rPr>
            <w:rStyle w:val="Hyperlink"/>
            <w:b w:val="false"/>
            <w:sz w:val="26"/>
            <w:szCs w:val="26"/>
          </w:rPr>
          <w:t>.</w:t>
        </w:r>
      </w:hyperlink>
    </w:p>
    <w:sectPr>
      <w:type w:val="nextPage"/>
      <w:pgSz w:w="11906" w:h="16838"/>
      <w:pgMar w:left="1701" w:right="850" w:gutter="0" w:header="0" w:top="115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t-online.ru/" TargetMode="External"/><Relationship Id="rId3" Type="http://schemas.openxmlformats.org/officeDocument/2006/relationships/hyperlink" Target="https://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Application>AlterOffice/3.4.0.9$Linux_X86_64 LibreOffice_project/b8daf9e823b1a5463a2f48435ddc2e8696e7d4fc</Application>
  <AppVersion>15.0000</AppVersion>
  <Pages>3</Pages>
  <Words>983</Words>
  <Characters>6478</Characters>
  <CharactersWithSpaces>7316</CharactersWithSpaces>
  <Paragraphs>162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2026-04-30T14:16:37Z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