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2B9DFC2F" w:rsidR="00572B76" w:rsidRPr="00A949FE" w:rsidRDefault="00DE6C5A" w:rsidP="00A949FE">
            <w:pPr>
              <w:snapToGrid w:val="0"/>
              <w:spacing w:after="0" w:line="240" w:lineRule="auto"/>
              <w:rPr>
                <w:rStyle w:val="databind"/>
                <w:rFonts w:ascii="Times New Roman" w:hAnsi="Times New Roman"/>
                <w:i w:val="0"/>
                <w:iCs w:val="0"/>
                <w:color w:val="auto"/>
              </w:rPr>
            </w:pPr>
            <w:bookmarkStart w:id="0" w:name="linkContainere55"/>
            <w:bookmarkEnd w:id="0"/>
            <w:r w:rsidRPr="00DE6C5A">
              <w:rPr>
                <w:rFonts w:ascii="Times New Roman" w:hAnsi="Times New Roman"/>
              </w:rPr>
              <w:t xml:space="preserve">г. </w:t>
            </w:r>
            <w:r w:rsidR="0026298B">
              <w:rPr>
                <w:rFonts w:ascii="Times New Roman" w:hAnsi="Times New Roman"/>
              </w:rPr>
              <w:t>Москва</w:t>
            </w:r>
          </w:p>
        </w:tc>
        <w:tc>
          <w:tcPr>
            <w:tcW w:w="4994" w:type="dxa"/>
            <w:shd w:val="clear" w:color="auto" w:fill="auto"/>
            <w:vAlign w:val="center"/>
          </w:tcPr>
          <w:p w14:paraId="745B0AB8" w14:textId="523AD8B8"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1B6058">
              <w:rPr>
                <w:rFonts w:ascii="Times New Roman" w:hAnsi="Times New Roman"/>
              </w:rPr>
              <w:t>6</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69A60EF8"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й</w:t>
      </w:r>
      <w:r w:rsidR="00423ACD">
        <w:rPr>
          <w:rFonts w:ascii="Times New Roman" w:hAnsi="Times New Roman"/>
          <w:b/>
          <w:bCs/>
        </w:rPr>
        <w:t xml:space="preserve"> </w:t>
      </w:r>
      <w:r w:rsidR="00423ACD" w:rsidRPr="00423ACD">
        <w:rPr>
          <w:rFonts w:ascii="Times New Roman" w:hAnsi="Times New Roman"/>
          <w:b/>
          <w:bCs/>
        </w:rPr>
        <w:t>Лукьянова Сергея Владимировича (дата рождения: 24.11.1978 г., место рождения: г. Брянск, СНИЛС 068-606-098 89, ИНН 323211127676, адрес регистрации по месту жительства: 241035, Брянская область, г. Брянск, ул. Ростовская 4, кв. 55)</w:t>
      </w:r>
      <w:r w:rsidR="00A6570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423ACD" w:rsidRPr="00423ACD">
        <w:rPr>
          <w:rFonts w:ascii="Times New Roman" w:hAnsi="Times New Roman"/>
        </w:rPr>
        <w:t>Арбитражного суда Брянской области от 22.10.2024 г. по делу № А09-1944/2024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7740538A" w:rsidR="001706AC" w:rsidRDefault="004A1811" w:rsidP="00572B76">
      <w:pPr>
        <w:pStyle w:val="paragraph"/>
        <w:jc w:val="both"/>
        <w:rPr>
          <w:sz w:val="22"/>
          <w:szCs w:val="22"/>
        </w:rPr>
      </w:pPr>
      <w:r w:rsidRPr="004A1811">
        <w:rPr>
          <w:b/>
          <w:bCs/>
          <w:sz w:val="22"/>
          <w:szCs w:val="22"/>
        </w:rPr>
        <w:t>Нежилое помещение по адресу: г. Москва, ул. Василисы Кожиной, д. 13, пом. 2138, общей площадью 48,1 кв.м., кадастровый номер 77:07:0005007:14121</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39E6B4C1" w:rsidR="002042A2" w:rsidRPr="002042A2" w:rsidRDefault="008D11D7" w:rsidP="002042A2">
            <w:pPr>
              <w:pStyle w:val="a5"/>
              <w:jc w:val="both"/>
              <w:rPr>
                <w:rFonts w:ascii="Times New Roman" w:hAnsi="Times New Roman"/>
                <w:sz w:val="20"/>
                <w:szCs w:val="20"/>
                <w:lang w:eastAsia="ru-RU"/>
              </w:rPr>
            </w:pPr>
            <w:r w:rsidRPr="008D11D7">
              <w:rPr>
                <w:rFonts w:ascii="Times New Roman" w:hAnsi="Times New Roman"/>
                <w:sz w:val="20"/>
                <w:szCs w:val="20"/>
                <w:lang w:eastAsia="ru-RU"/>
              </w:rPr>
              <w:t>Финансовый управляющий Лукьянова Сергея Владимировича (дата рождения: 24.11.1978 г., место рождения: г. Брянск, СНИЛС 068-606-098 89, ИНН 323211127676, адрес регистрации по месту жительства: 241035, Брянская область, г. Брянск, ул. Ростовская 4, кв. 55) Рахимова Алена Лумоновна</w:t>
            </w:r>
            <w:r>
              <w:rPr>
                <w:rFonts w:ascii="Times New Roman" w:hAnsi="Times New Roman"/>
                <w:sz w:val="20"/>
                <w:szCs w:val="20"/>
                <w:lang w:eastAsia="ru-RU"/>
              </w:rPr>
              <w:t xml:space="preserve">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16EC0824" w14:textId="77777777" w:rsidR="009A5014" w:rsidRPr="009A5014" w:rsidRDefault="009A5014" w:rsidP="009A5014">
            <w:pPr>
              <w:pStyle w:val="a5"/>
              <w:jc w:val="both"/>
              <w:rPr>
                <w:rFonts w:ascii="Times New Roman" w:hAnsi="Times New Roman"/>
                <w:sz w:val="20"/>
                <w:szCs w:val="20"/>
                <w:lang w:eastAsia="ru-RU"/>
              </w:rPr>
            </w:pPr>
            <w:r w:rsidRPr="009A5014">
              <w:rPr>
                <w:rFonts w:ascii="Times New Roman" w:hAnsi="Times New Roman"/>
                <w:sz w:val="20"/>
                <w:szCs w:val="20"/>
                <w:lang w:eastAsia="ru-RU"/>
              </w:rPr>
              <w:t>Счет получателя: 40817810150222016271;</w:t>
            </w:r>
          </w:p>
          <w:p w14:paraId="24837695" w14:textId="5CFD1109" w:rsidR="00DD1DB3" w:rsidRPr="00B91954" w:rsidRDefault="009A5014" w:rsidP="009A5014">
            <w:pPr>
              <w:pStyle w:val="a5"/>
              <w:spacing w:line="276" w:lineRule="auto"/>
              <w:jc w:val="both"/>
              <w:rPr>
                <w:rFonts w:ascii="Times New Roman" w:hAnsi="Times New Roman"/>
                <w:sz w:val="20"/>
                <w:szCs w:val="20"/>
                <w:lang w:eastAsia="ru-RU"/>
              </w:rPr>
            </w:pPr>
            <w:r w:rsidRPr="009A5014">
              <w:rPr>
                <w:rFonts w:ascii="Times New Roman" w:hAnsi="Times New Roman"/>
                <w:sz w:val="20"/>
                <w:szCs w:val="20"/>
                <w:lang w:eastAsia="ru-RU"/>
              </w:rPr>
              <w:t>Ф.И.О. получателя: Рахимова Алена Лумоновна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57AF9"/>
    <w:rsid w:val="00062215"/>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058"/>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98B"/>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2B43"/>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3AC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1811"/>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9B9"/>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99E"/>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54E0"/>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45C4"/>
    <w:rsid w:val="006D6826"/>
    <w:rsid w:val="006D6F64"/>
    <w:rsid w:val="006E760D"/>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9B3"/>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1D7"/>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5014"/>
    <w:rsid w:val="009A6321"/>
    <w:rsid w:val="009B0A26"/>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70B"/>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5561"/>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E77BE"/>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B6CB2"/>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E6C5A"/>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681"/>
    <w:rsid w:val="00EA44F5"/>
    <w:rsid w:val="00EA6E05"/>
    <w:rsid w:val="00EB2E36"/>
    <w:rsid w:val="00EB5CFD"/>
    <w:rsid w:val="00EB6136"/>
    <w:rsid w:val="00EC3672"/>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40625"/>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1724</Words>
  <Characters>9827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194</cp:revision>
  <dcterms:created xsi:type="dcterms:W3CDTF">2023-09-06T13:32:00Z</dcterms:created>
  <dcterms:modified xsi:type="dcterms:W3CDTF">2026-02-09T14:36:00Z</dcterms:modified>
</cp:coreProperties>
</file>