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right"/>
        <w:rPr>
          <w:rFonts w:ascii="Times New Roman" w:hAnsi="Times New Roman" w:cs="Times New Roman"/>
        </w:rPr>
      </w:pPr>
      <w:r>
        <w:rPr>
          <w:rFonts w:cs="Times New Roman" w:ascii="Times New Roman" w:hAnsi="Times New Roman"/>
        </w:rPr>
      </w:r>
    </w:p>
    <w:p>
      <w:pPr>
        <w:pStyle w:val="Normal"/>
        <w:bidi w:val="0"/>
        <w:jc w:val="right"/>
        <w:rPr>
          <w:rFonts w:ascii="Times New Roman" w:hAnsi="Times New Roman" w:cs="Times New Roman"/>
        </w:rPr>
      </w:pPr>
      <w:r>
        <w:rPr>
          <w:rFonts w:cs="Times New Roman" w:ascii="Times New Roman" w:hAnsi="Times New Roman"/>
        </w:rPr>
        <w:t xml:space="preserve">Финансовый управляющий имуществом должника </w:t>
      </w:r>
    </w:p>
    <w:p>
      <w:pPr>
        <w:pStyle w:val="Normal"/>
        <w:bidi w:val="0"/>
        <w:ind w:left="0" w:right="0" w:hanging="0"/>
        <w:jc w:val="right"/>
        <w:rPr/>
      </w:pPr>
      <w:r>
        <w:rPr>
          <w:rFonts w:eastAsia="NSimSun" w:cs="Times New Roman" w:ascii="Times New Roman" w:hAnsi="Times New Roman"/>
          <w:color w:val="000000"/>
          <w:sz w:val="24"/>
          <w:szCs w:val="24"/>
          <w:shd w:fill="FFFFFF" w:val="clear"/>
          <w:lang w:val="en-US" w:eastAsia="zh-CN" w:bidi="hi-IN"/>
        </w:rPr>
        <w:t>Васильев</w:t>
      </w:r>
      <w:r>
        <w:rPr>
          <w:rFonts w:eastAsia="NSimSun" w:cs="Times New Roman" w:ascii="Times New Roman" w:hAnsi="Times New Roman"/>
          <w:color w:val="000000"/>
          <w:sz w:val="24"/>
          <w:szCs w:val="24"/>
          <w:shd w:fill="FFFFFF" w:val="clear"/>
          <w:lang w:val="ru-RU" w:eastAsia="zh-CN" w:bidi="hi-IN"/>
        </w:rPr>
        <w:t>а</w:t>
      </w:r>
      <w:r>
        <w:rPr>
          <w:rFonts w:eastAsia="NSimSun" w:cs="Times New Roman" w:ascii="Times New Roman" w:hAnsi="Times New Roman"/>
          <w:color w:val="000000"/>
          <w:sz w:val="24"/>
          <w:szCs w:val="24"/>
          <w:shd w:fill="FFFFFF" w:val="clear"/>
          <w:lang w:val="en-US" w:eastAsia="zh-CN" w:bidi="hi-IN"/>
        </w:rPr>
        <w:t xml:space="preserve"> Иван</w:t>
      </w:r>
      <w:r>
        <w:rPr>
          <w:rFonts w:eastAsia="NSimSun" w:cs="Times New Roman" w:ascii="Times New Roman" w:hAnsi="Times New Roman"/>
          <w:color w:val="000000"/>
          <w:sz w:val="24"/>
          <w:szCs w:val="24"/>
          <w:shd w:fill="FFFFFF" w:val="clear"/>
          <w:lang w:val="ru-RU" w:eastAsia="zh-CN" w:bidi="hi-IN"/>
        </w:rPr>
        <w:t>а</w:t>
      </w:r>
      <w:r>
        <w:rPr>
          <w:rFonts w:eastAsia="NSimSun" w:cs="Times New Roman" w:ascii="Times New Roman" w:hAnsi="Times New Roman"/>
          <w:color w:val="000000"/>
          <w:sz w:val="24"/>
          <w:szCs w:val="24"/>
          <w:shd w:fill="FFFFFF" w:val="clear"/>
          <w:lang w:val="en-US" w:eastAsia="zh-CN" w:bidi="hi-IN"/>
        </w:rPr>
        <w:t xml:space="preserve"> Юрьевич</w:t>
      </w:r>
      <w:r>
        <w:rPr>
          <w:rFonts w:eastAsia="NSimSun" w:cs="Times New Roman" w:ascii="Times New Roman" w:hAnsi="Times New Roman"/>
          <w:color w:val="000000"/>
          <w:sz w:val="24"/>
          <w:szCs w:val="24"/>
          <w:shd w:fill="FFFFFF" w:val="clear"/>
          <w:lang w:val="ru-RU" w:eastAsia="zh-CN" w:bidi="hi-IN"/>
        </w:rPr>
        <w:t>а</w:t>
      </w:r>
    </w:p>
    <w:p>
      <w:pPr>
        <w:pStyle w:val="Normal"/>
        <w:bidi w:val="0"/>
        <w:jc w:val="right"/>
        <w:rPr>
          <w:rFonts w:ascii="Times New Roman" w:hAnsi="Times New Roman" w:eastAsia="NSimSun" w:cs="Times New Roman"/>
          <w:color w:val="auto"/>
          <w:sz w:val="24"/>
          <w:szCs w:val="24"/>
          <w:lang w:val="ru-RU" w:eastAsia="zh-CN" w:bidi="hi-IN"/>
        </w:rPr>
      </w:pPr>
      <w:r>
        <w:rPr>
          <w:rFonts w:eastAsia="NSimSun" w:cs="Times New Roman" w:ascii="Times New Roman" w:hAnsi="Times New Roman"/>
          <w:color w:val="auto"/>
          <w:sz w:val="24"/>
          <w:szCs w:val="24"/>
          <w:lang w:val="ru-RU" w:eastAsia="zh-CN" w:bidi="hi-IN"/>
        </w:rPr>
        <w:t>Богданова Кристина Владимировна</w:t>
      </w:r>
    </w:p>
    <w:p>
      <w:pPr>
        <w:pStyle w:val="Normal"/>
        <w:bidi w:val="0"/>
        <w:jc w:val="right"/>
        <w:rPr>
          <w:rFonts w:ascii="Times New Roman" w:hAnsi="Times New Roman" w:cs="Times New Roman"/>
        </w:rPr>
      </w:pPr>
      <w:r>
        <w:rPr>
          <w:rFonts w:cs="Times New Roman" w:ascii="Times New Roman" w:hAnsi="Times New Roman"/>
        </w:rPr>
      </w:r>
    </w:p>
    <w:p>
      <w:pPr>
        <w:pStyle w:val="1"/>
        <w:ind w:left="720" w:right="0" w:hanging="720"/>
        <w:jc w:val="center"/>
        <w:rPr>
          <w:rFonts w:ascii="Times New Roman" w:hAnsi="Times New Roman" w:cs="Times New Roman"/>
        </w:rPr>
      </w:pPr>
      <w:r>
        <w:rPr>
          <w:rFonts w:cs="Times New Roman"/>
        </w:rPr>
      </w:r>
    </w:p>
    <w:p>
      <w:pPr>
        <w:pStyle w:val="1"/>
        <w:ind w:left="720" w:right="0" w:hanging="720"/>
        <w:jc w:val="center"/>
        <w:rPr>
          <w:rFonts w:ascii="Times New Roman" w:hAnsi="Times New Roman" w:cs="Times New Roman"/>
        </w:rPr>
      </w:pPr>
      <w:r>
        <w:rPr>
          <w:rFonts w:cs="Times New Roman"/>
        </w:rPr>
      </w:r>
    </w:p>
    <w:p>
      <w:pPr>
        <w:pStyle w:val="1"/>
        <w:ind w:left="720" w:right="0" w:hanging="720"/>
        <w:jc w:val="center"/>
        <w:rPr>
          <w:rFonts w:ascii="Times New Roman" w:hAnsi="Times New Roman" w:cs="Times New Roman"/>
        </w:rPr>
      </w:pPr>
      <w:r>
        <w:rPr>
          <w:rFonts w:cs="Times New Roman"/>
        </w:rPr>
      </w:r>
    </w:p>
    <w:p>
      <w:pPr>
        <w:pStyle w:val="1"/>
        <w:ind w:left="720" w:right="0" w:hanging="720"/>
        <w:jc w:val="center"/>
        <w:rPr>
          <w:rFonts w:ascii="Times New Roman" w:hAnsi="Times New Roman" w:cs="Times New Roman"/>
        </w:rPr>
      </w:pPr>
      <w:r>
        <w:rPr>
          <w:rFonts w:cs="Times New Roman"/>
        </w:rPr>
      </w:r>
    </w:p>
    <w:p>
      <w:pPr>
        <w:pStyle w:val="1"/>
        <w:ind w:left="720" w:right="0" w:hanging="720"/>
        <w:jc w:val="center"/>
        <w:rPr>
          <w:b/>
          <w:b/>
          <w:sz w:val="24"/>
          <w:szCs w:val="24"/>
        </w:rPr>
      </w:pPr>
      <w:r>
        <w:rPr>
          <w:b/>
          <w:sz w:val="24"/>
          <w:szCs w:val="24"/>
        </w:rPr>
        <w:t>Положение</w:t>
      </w:r>
    </w:p>
    <w:p>
      <w:pPr>
        <w:pStyle w:val="1"/>
        <w:jc w:val="center"/>
        <w:rPr>
          <w:b/>
          <w:b/>
          <w:sz w:val="24"/>
          <w:szCs w:val="24"/>
        </w:rPr>
      </w:pPr>
      <w:r>
        <w:rPr>
          <w:b/>
          <w:sz w:val="24"/>
          <w:szCs w:val="24"/>
        </w:rPr>
        <w:t xml:space="preserve">о порядке, об условиях и о сроках реализации имущества </w:t>
      </w:r>
    </w:p>
    <w:p>
      <w:pPr>
        <w:pStyle w:val="Normal"/>
        <w:bidi w:val="0"/>
        <w:jc w:val="center"/>
        <w:rPr>
          <w:rFonts w:ascii="Times New Roman" w:hAnsi="Times New Roman" w:eastAsia="NSimSun" w:cs="Times New Roman"/>
          <w:b/>
          <w:b/>
          <w:bCs/>
          <w:color w:val="auto"/>
          <w:sz w:val="24"/>
          <w:szCs w:val="24"/>
          <w:lang w:val="ru-RU" w:eastAsia="zh-CN" w:bidi="hi-IN"/>
        </w:rPr>
      </w:pPr>
      <w:r>
        <w:rPr>
          <w:rFonts w:eastAsia="NSimSun" w:cs="Times New Roman" w:ascii="Times New Roman" w:hAnsi="Times New Roman"/>
          <w:b/>
          <w:bCs/>
          <w:color w:val="auto"/>
          <w:sz w:val="24"/>
          <w:szCs w:val="24"/>
          <w:lang w:val="ru-RU" w:eastAsia="zh-CN" w:bidi="hi-IN"/>
        </w:rPr>
        <w:t>Васильева Ивана Юрьевича</w:t>
      </w:r>
    </w:p>
    <w:p>
      <w:pPr>
        <w:pStyle w:val="NoSpacing"/>
        <w:jc w:val="center"/>
        <w:rPr/>
      </w:pPr>
      <w:r>
        <w:rPr/>
      </w:r>
      <w:bookmarkStart w:id="0" w:name="_Hlk193107049"/>
      <w:bookmarkStart w:id="1" w:name="_Hlk193107049"/>
      <w:bookmarkEnd w:id="1"/>
    </w:p>
    <w:p>
      <w:pPr>
        <w:pStyle w:val="Normal"/>
        <w:bidi w:val="0"/>
        <w:jc w:val="center"/>
        <w:rPr>
          <w:rFonts w:ascii="Times New Roman" w:hAnsi="Times New Roman" w:cs="Times New Roman"/>
        </w:rPr>
      </w:pPr>
      <w:r>
        <w:rPr>
          <w:rFonts w:cs="Times New Roman" w:ascii="Times New Roman" w:hAnsi="Times New Roman"/>
        </w:rPr>
      </w:r>
    </w:p>
    <w:p>
      <w:pPr>
        <w:pStyle w:val="Normal"/>
        <w:bidi w:val="0"/>
        <w:jc w:val="center"/>
        <w:rPr>
          <w:rFonts w:ascii="Times New Roman" w:hAnsi="Times New Roman" w:cs="Times New Roman"/>
          <w:b/>
          <w:b/>
          <w:bCs/>
          <w:sz w:val="26"/>
          <w:szCs w:val="26"/>
        </w:rPr>
      </w:pPr>
      <w:r>
        <w:rPr>
          <w:rFonts w:cs="Times New Roman" w:ascii="Times New Roman" w:hAnsi="Times New Roman"/>
          <w:b/>
          <w:bCs/>
          <w:sz w:val="26"/>
          <w:szCs w:val="26"/>
        </w:rPr>
        <w:t>Общие положения</w:t>
      </w:r>
    </w:p>
    <w:p>
      <w:pPr>
        <w:pStyle w:val="Normal"/>
        <w:bidi w:val="0"/>
        <w:ind w:left="0" w:right="0" w:hanging="0"/>
        <w:jc w:val="both"/>
        <w:rPr/>
      </w:pPr>
      <w:r>
        <w:rPr/>
      </w:r>
    </w:p>
    <w:p>
      <w:pPr>
        <w:pStyle w:val="Normal"/>
        <w:bidi w:val="0"/>
        <w:ind w:left="0" w:right="0" w:hanging="0"/>
        <w:jc w:val="both"/>
        <w:rPr/>
      </w:pPr>
      <w:r>
        <w:rPr>
          <w:rFonts w:cs="Times New Roman" w:ascii="Times New Roman" w:hAnsi="Times New Roman"/>
          <w:color w:val="000000"/>
          <w:sz w:val="24"/>
          <w:szCs w:val="24"/>
          <w:shd w:fill="FFFFFF" w:val="clear"/>
          <w:lang w:val="en-US"/>
        </w:rPr>
        <w:t xml:space="preserve">I. Решением Арбитражного суда Курской области от 14.05.2025 года (резолютивная часть объявлена 13.05.2025 года) по делу № А35-2088/2025 Васильев Иван Юрьевич  (10.10.1997 года рождения, место рождения: гор. Рыльск, Курской обл., СНИЛС 145-927-071 82, ИНН 462005415890, место регистрации: 307370 Курская обл., Рыльский р-н, гор. Рыльск,ул. Офицерская, д. 47) признан несостоятельным (банкротом) и введена процедура реализации имущества гражданина сроком на </w:t>
      </w:r>
      <w:r>
        <w:rPr>
          <w:rFonts w:eastAsia="Calibri" w:cs="Times New Roman" w:ascii="Times New Roman" w:hAnsi="Times New Roman"/>
          <w:color w:val="000000"/>
          <w:kern w:val="0"/>
          <w:sz w:val="24"/>
          <w:szCs w:val="24"/>
          <w:shd w:fill="FFFFFF" w:val="clear"/>
          <w:lang w:val="ru-RU" w:eastAsia="en-US" w:bidi="ar-SA"/>
        </w:rPr>
        <w:t xml:space="preserve">шесть </w:t>
      </w:r>
      <w:r>
        <w:rPr>
          <w:rFonts w:cs="Times New Roman" w:ascii="Times New Roman" w:hAnsi="Times New Roman"/>
          <w:color w:val="000000"/>
          <w:sz w:val="24"/>
          <w:szCs w:val="24"/>
          <w:shd w:fill="FFFFFF" w:val="clear"/>
          <w:lang w:val="en-US"/>
        </w:rPr>
        <w:t>месяцев до 12.11.2025 года</w:t>
      </w:r>
      <w:bookmarkStart w:id="2" w:name="__DdeLink__22_4087478527"/>
      <w:r>
        <w:rPr>
          <w:rFonts w:cs="Times New Roman" w:ascii="Times New Roman" w:hAnsi="Times New Roman"/>
          <w:color w:val="000000"/>
          <w:sz w:val="24"/>
          <w:szCs w:val="24"/>
          <w:shd w:fill="FFFFFF" w:val="clear"/>
          <w:lang w:val="en-US"/>
        </w:rPr>
        <w:t>.</w:t>
      </w:r>
      <w:bookmarkEnd w:id="2"/>
      <w:r>
        <w:rPr>
          <w:rFonts w:cs="Times New Roman" w:ascii="Times New Roman" w:hAnsi="Times New Roman"/>
          <w:color w:val="000000"/>
          <w:sz w:val="24"/>
          <w:szCs w:val="24"/>
          <w:shd w:fill="FFFFFF" w:val="clear"/>
          <w:lang w:val="en-US"/>
        </w:rPr>
        <w:t xml:space="preserve"> </w:t>
      </w:r>
      <w:r>
        <w:rPr>
          <w:rFonts w:cs="Times New Roman" w:ascii="Times New Roman" w:hAnsi="Times New Roman"/>
          <w:color w:val="000000"/>
          <w:sz w:val="24"/>
          <w:szCs w:val="24"/>
          <w:shd w:fill="FFFFFF" w:val="clear"/>
          <w:lang w:val="ru-RU"/>
        </w:rPr>
        <w:t>На основании Решения</w:t>
      </w:r>
    </w:p>
    <w:p>
      <w:pPr>
        <w:pStyle w:val="Normal"/>
        <w:bidi w:val="0"/>
        <w:ind w:left="0" w:right="0" w:hanging="0"/>
        <w:jc w:val="both"/>
        <w:rPr/>
      </w:pPr>
      <w:r>
        <w:rPr>
          <w:rFonts w:cs="Times New Roman" w:ascii="Times New Roman" w:hAnsi="Times New Roman"/>
          <w:color w:val="000000"/>
          <w:sz w:val="24"/>
          <w:szCs w:val="24"/>
          <w:shd w:fill="FFFFFF" w:val="clear"/>
          <w:lang w:val="en-US"/>
        </w:rPr>
        <w:t xml:space="preserve">Арбитражного суда Курской области от 14.05.2025 года (резолютивная часть объявлена 13.05.2025 года) по делу № А35-2088/2025 </w:t>
      </w:r>
      <w:r>
        <w:rPr>
          <w:rFonts w:cs="Times New Roman" w:ascii="Times New Roman" w:hAnsi="Times New Roman"/>
          <w:color w:val="000000"/>
          <w:sz w:val="24"/>
          <w:szCs w:val="24"/>
          <w:shd w:fill="FFFFFF" w:val="clear"/>
          <w:lang w:val="ru-RU"/>
        </w:rPr>
        <w:t>процедура реализации имущества автоматически продлена  на 6 месяцев.</w:t>
      </w:r>
    </w:p>
    <w:p>
      <w:pPr>
        <w:pStyle w:val="Normal"/>
        <w:bidi w:val="0"/>
        <w:spacing w:lineRule="auto" w:line="240" w:before="0" w:after="0"/>
        <w:ind w:left="0" w:right="0" w:hanging="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Финансовым управляющим утверждена Богданова Кристина Владимировна (ИНН 460900050532, СНИЛС 054-647-294-79, член Ассоциации СОАУ «МЕРКУРИЙ» (ОГРН 1037710023108 ИНН 7710458616 адрес: 125047 г. Москва, ул. 4-я Тверская-Ямская, д. 2/11, стр. 2), регистрационный номер в сводном государственном реестре арбитражных управляющих №22185).</w:t>
      </w:r>
    </w:p>
    <w:p>
      <w:pPr>
        <w:pStyle w:val="NoSpacing"/>
        <w:ind w:left="0" w:right="0" w:hanging="0"/>
        <w:jc w:val="both"/>
        <w:rPr/>
      </w:pPr>
      <w:r>
        <w:rPr>
          <w:rFonts w:cs="Times New Roman" w:ascii="Times New Roman" w:hAnsi="Times New Roman"/>
          <w:sz w:val="24"/>
          <w:szCs w:val="24"/>
          <w:lang w:val="en-US"/>
        </w:rPr>
        <w:t xml:space="preserve">II. </w:t>
      </w:r>
      <w:r>
        <w:rPr>
          <w:rFonts w:cs="Times New Roman" w:ascii="Times New Roman" w:hAnsi="Times New Roman"/>
          <w:sz w:val="24"/>
          <w:szCs w:val="24"/>
        </w:rPr>
        <w:t>Настоящее Положение разработано в соответствии с нормами Гражданского кодекса Российской Федерации, Федерального закона № 127-ФЗ от 26.10.2002 «О несостоятельности (банкротстве)», Приказа Минэкономразвития России от 23.07.2015 №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w:t>
      </w:r>
      <w:r>
        <w:rPr>
          <w:rFonts w:cs="Times New Roman" w:ascii="Times New Roman" w:hAnsi="Times New Roman"/>
        </w:rPr>
        <w:t xml:space="preserve"> </w:t>
      </w:r>
      <w:r>
        <w:rPr>
          <w:rFonts w:cs="Times New Roman" w:ascii="Times New Roman" w:hAnsi="Times New Roman"/>
          <w:sz w:val="24"/>
          <w:szCs w:val="24"/>
        </w:rPr>
        <w:t>России».</w:t>
      </w:r>
    </w:p>
    <w:p>
      <w:pPr>
        <w:pStyle w:val="NoSpacing"/>
        <w:ind w:left="0" w:right="0" w:hanging="0"/>
        <w:jc w:val="both"/>
        <w:rPr/>
      </w:pPr>
      <w:r>
        <w:rPr>
          <w:rFonts w:cs="Times New Roman" w:ascii="Times New Roman" w:hAnsi="Times New Roman"/>
          <w:sz w:val="24"/>
          <w:szCs w:val="24"/>
          <w:lang w:val="en-US"/>
        </w:rPr>
        <w:t xml:space="preserve">III. </w:t>
      </w:r>
      <w:r>
        <w:rPr>
          <w:rFonts w:cs="Times New Roman" w:ascii="Times New Roman" w:hAnsi="Times New Roman"/>
          <w:sz w:val="24"/>
          <w:szCs w:val="24"/>
        </w:rPr>
        <w:t xml:space="preserve">Реализация имущества Должника осуществляется путём проведения открытых торгов в электронной форме на электронной торговой площадке с открытой формой подачи предложений о цене. </w:t>
      </w:r>
    </w:p>
    <w:p>
      <w:pPr>
        <w:pStyle w:val="NoSpacing"/>
        <w:ind w:left="0" w:right="0" w:hanging="0"/>
        <w:jc w:val="both"/>
        <w:rPr/>
      </w:pPr>
      <w:r>
        <w:rPr>
          <w:rFonts w:cs="Times New Roman" w:ascii="Times New Roman" w:hAnsi="Times New Roman"/>
          <w:sz w:val="24"/>
          <w:szCs w:val="24"/>
          <w:lang w:val="en-US"/>
        </w:rPr>
        <w:t xml:space="preserve">IV. </w:t>
      </w:r>
      <w:r>
        <w:rPr>
          <w:rFonts w:cs="Times New Roman" w:ascii="Times New Roman" w:hAnsi="Times New Roman"/>
          <w:sz w:val="24"/>
          <w:szCs w:val="24"/>
        </w:rPr>
        <w:t xml:space="preserve">Настоящее Положение подлежит утверждению собранием кредиторов. </w:t>
      </w:r>
    </w:p>
    <w:p>
      <w:pPr>
        <w:pStyle w:val="NoSpacing"/>
        <w:ind w:left="0" w:right="0" w:hanging="0"/>
        <w:jc w:val="both"/>
        <w:rPr/>
      </w:pPr>
      <w:r>
        <w:rPr>
          <w:rFonts w:cs="Times New Roman" w:ascii="Times New Roman" w:hAnsi="Times New Roman"/>
          <w:sz w:val="24"/>
          <w:szCs w:val="24"/>
          <w:lang w:val="en-US"/>
        </w:rPr>
        <w:t xml:space="preserve">V. </w:t>
      </w:r>
      <w:r>
        <w:rPr>
          <w:rFonts w:cs="Times New Roman" w:ascii="Times New Roman" w:hAnsi="Times New Roman"/>
          <w:sz w:val="24"/>
          <w:szCs w:val="24"/>
        </w:rPr>
        <w:t xml:space="preserve">Начальная продажная цена установлена финансовым управляющим в письменном решении. </w:t>
      </w:r>
    </w:p>
    <w:p>
      <w:pPr>
        <w:pStyle w:val="NoSpacing"/>
        <w:ind w:left="0" w:right="0" w:hanging="0"/>
        <w:jc w:val="both"/>
        <w:rPr/>
      </w:pPr>
      <w:r>
        <w:rPr>
          <w:rFonts w:cs="Times New Roman" w:ascii="Times New Roman" w:hAnsi="Times New Roman"/>
          <w:sz w:val="24"/>
          <w:szCs w:val="24"/>
          <w:lang w:val="en-US"/>
        </w:rPr>
        <w:t xml:space="preserve">VI. </w:t>
      </w:r>
      <w:r>
        <w:rPr>
          <w:rFonts w:cs="Times New Roman" w:ascii="Times New Roman" w:hAnsi="Times New Roman"/>
          <w:sz w:val="24"/>
          <w:szCs w:val="24"/>
        </w:rPr>
        <w:t>На основании п. 63 ст.217 Налогового кодекса РФ доходы налогоплательщика от продажи имущества, подлежащего реализации в случае признания такого налогоплательщика банкротом и введения процедуры реализации его имущества в соответствии с законодательством о несостоятельности (банкротстве) налогообложению на доход физических лиц не подлежат.</w:t>
      </w:r>
    </w:p>
    <w:p>
      <w:pPr>
        <w:pStyle w:val="NoSpacing"/>
        <w:bidi w:val="0"/>
        <w:ind w:left="0" w:right="0" w:hanging="0"/>
        <w:jc w:val="both"/>
        <w:rPr/>
      </w:pPr>
      <w:r>
        <w:rPr>
          <w:rFonts w:cs="Times New Roman" w:ascii="Times New Roman" w:hAnsi="Times New Roman"/>
          <w:sz w:val="24"/>
          <w:szCs w:val="24"/>
          <w:lang w:val="en-US"/>
        </w:rPr>
        <w:t xml:space="preserve">VII. </w:t>
      </w:r>
      <w:r>
        <w:rPr>
          <w:rFonts w:cs="Times New Roman" w:ascii="Times New Roman" w:hAnsi="Times New Roman"/>
          <w:sz w:val="24"/>
          <w:szCs w:val="24"/>
        </w:rPr>
        <w:t>Сведения о должнике, состав лота (лотов), сведения о начальной цене продажи на торгах, шаг понижения и период понижения цены публичного предложения, цена отсечения, размер задатка, приведены в Приложении №1 «Сведения о должнике, имущества и торгах» к настоящему Положению.</w:t>
      </w:r>
    </w:p>
    <w:tbl>
      <w:tblPr>
        <w:tblW w:w="9870" w:type="dxa"/>
        <w:jc w:val="left"/>
        <w:tblInd w:w="-14" w:type="dxa"/>
        <w:tblCellMar>
          <w:top w:w="55" w:type="dxa"/>
          <w:left w:w="55" w:type="dxa"/>
          <w:bottom w:w="55" w:type="dxa"/>
          <w:right w:w="55" w:type="dxa"/>
        </w:tblCellMar>
      </w:tblPr>
      <w:tblGrid>
        <w:gridCol w:w="675"/>
        <w:gridCol w:w="1707"/>
        <w:gridCol w:w="1124"/>
        <w:gridCol w:w="2894"/>
        <w:gridCol w:w="1605"/>
        <w:gridCol w:w="1864"/>
      </w:tblGrid>
      <w:tr>
        <w:trPr/>
        <w:tc>
          <w:tcPr>
            <w:tcW w:w="675" w:type="dxa"/>
            <w:vMerge w:val="restart"/>
            <w:tcBorders>
              <w:top w:val="single" w:sz="4" w:space="0" w:color="000000"/>
              <w:left w:val="single" w:sz="4" w:space="0" w:color="000000"/>
              <w:bottom w:val="single" w:sz="4" w:space="0" w:color="000000"/>
            </w:tcBorders>
            <w:shd w:fill="auto" w:val="clear"/>
          </w:tcPr>
          <w:p>
            <w:pPr>
              <w:pStyle w:val="Normal"/>
              <w:bidi w:val="0"/>
              <w:jc w:val="left"/>
              <w:rPr>
                <w:rFonts w:ascii="Times New Roman" w:hAnsi="Times New Roman" w:cs="Times New Roman"/>
              </w:rPr>
            </w:pPr>
            <w:r>
              <w:rPr>
                <w:rFonts w:cs="Times New Roman" w:ascii="Times New Roman" w:hAnsi="Times New Roman"/>
              </w:rPr>
              <w:t>1</w:t>
            </w:r>
          </w:p>
        </w:tc>
        <w:tc>
          <w:tcPr>
            <w:tcW w:w="1707" w:type="dxa"/>
            <w:vMerge w:val="restart"/>
            <w:tcBorders>
              <w:top w:val="single" w:sz="4" w:space="0" w:color="000000"/>
              <w:left w:val="single" w:sz="4" w:space="0" w:color="000000"/>
              <w:bottom w:val="single" w:sz="4" w:space="0" w:color="000000"/>
            </w:tcBorders>
            <w:shd w:fill="auto" w:val="clear"/>
          </w:tcPr>
          <w:p>
            <w:pPr>
              <w:pStyle w:val="Normal"/>
              <w:bidi w:val="0"/>
              <w:jc w:val="left"/>
              <w:rPr>
                <w:rFonts w:ascii="Times New Roman" w:hAnsi="Times New Roman" w:cs="Times New Roman"/>
              </w:rPr>
            </w:pPr>
            <w:r>
              <w:rPr>
                <w:rFonts w:cs="Times New Roman" w:ascii="Times New Roman" w:hAnsi="Times New Roman"/>
              </w:rPr>
              <w:t xml:space="preserve">Сведения об имуществе и порядке ознакомления с ним </w:t>
            </w:r>
          </w:p>
        </w:tc>
        <w:tc>
          <w:tcPr>
            <w:tcW w:w="1124" w:type="dxa"/>
            <w:tcBorders>
              <w:top w:val="single" w:sz="4" w:space="0" w:color="000000"/>
              <w:left w:val="single" w:sz="4" w:space="0" w:color="000000"/>
              <w:bottom w:val="single" w:sz="4" w:space="0" w:color="000000"/>
            </w:tcBorders>
            <w:shd w:fill="auto" w:val="clear"/>
          </w:tcPr>
          <w:p>
            <w:pPr>
              <w:pStyle w:val="Normal"/>
              <w:bidi w:val="0"/>
              <w:jc w:val="center"/>
              <w:rPr/>
            </w:pPr>
            <w:r>
              <w:rPr>
                <w:rFonts w:cs="Times New Roman" w:ascii="Times New Roman" w:hAnsi="Times New Roman"/>
              </w:rPr>
              <w:t>№</w:t>
            </w:r>
            <w:r>
              <w:rPr>
                <w:rFonts w:eastAsia="Times New Roman" w:cs="Times New Roman" w:ascii="Times New Roman" w:hAnsi="Times New Roman"/>
              </w:rPr>
              <w:t xml:space="preserve"> </w:t>
            </w:r>
          </w:p>
          <w:p>
            <w:pPr>
              <w:pStyle w:val="Normal"/>
              <w:bidi w:val="0"/>
              <w:jc w:val="center"/>
              <w:rPr>
                <w:rFonts w:ascii="Times New Roman" w:hAnsi="Times New Roman" w:cs="Times New Roman"/>
              </w:rPr>
            </w:pPr>
            <w:r>
              <w:rPr>
                <w:rFonts w:cs="Times New Roman" w:ascii="Times New Roman" w:hAnsi="Times New Roman"/>
              </w:rPr>
              <w:t xml:space="preserve">лота </w:t>
            </w:r>
          </w:p>
        </w:tc>
        <w:tc>
          <w:tcPr>
            <w:tcW w:w="2894" w:type="dxa"/>
            <w:tcBorders>
              <w:top w:val="single" w:sz="4" w:space="0" w:color="000000"/>
              <w:left w:val="single" w:sz="4" w:space="0" w:color="000000"/>
              <w:bottom w:val="single" w:sz="4" w:space="0" w:color="000000"/>
            </w:tcBorders>
            <w:shd w:fill="auto" w:val="clear"/>
          </w:tcPr>
          <w:p>
            <w:pPr>
              <w:pStyle w:val="Normal"/>
              <w:bidi w:val="0"/>
              <w:jc w:val="left"/>
              <w:rPr>
                <w:rFonts w:ascii="Times New Roman" w:hAnsi="Times New Roman" w:cs="Times New Roman"/>
              </w:rPr>
            </w:pPr>
            <w:r>
              <w:rPr>
                <w:rFonts w:cs="Times New Roman" w:ascii="Times New Roman" w:hAnsi="Times New Roman"/>
              </w:rPr>
              <w:t>Описание, характеристика имущества</w:t>
            </w:r>
          </w:p>
        </w:tc>
        <w:tc>
          <w:tcPr>
            <w:tcW w:w="1605" w:type="dxa"/>
            <w:tcBorders>
              <w:top w:val="single" w:sz="4" w:space="0" w:color="000000"/>
              <w:left w:val="single" w:sz="4" w:space="0" w:color="000000"/>
              <w:bottom w:val="single" w:sz="4" w:space="0" w:color="000000"/>
            </w:tcBorders>
            <w:shd w:fill="auto" w:val="clear"/>
          </w:tcPr>
          <w:p>
            <w:pPr>
              <w:pStyle w:val="Normal"/>
              <w:bidi w:val="0"/>
              <w:jc w:val="left"/>
              <w:rPr>
                <w:rFonts w:ascii="Times New Roman" w:hAnsi="Times New Roman" w:cs="Times New Roman"/>
              </w:rPr>
            </w:pPr>
            <w:r>
              <w:rPr>
                <w:rFonts w:cs="Times New Roman" w:ascii="Times New Roman" w:hAnsi="Times New Roman"/>
              </w:rPr>
              <w:t xml:space="preserve">Количество </w:t>
            </w:r>
          </w:p>
        </w:tc>
        <w:tc>
          <w:tcPr>
            <w:tcW w:w="1864" w:type="dxa"/>
            <w:tcBorders>
              <w:top w:val="single" w:sz="4" w:space="0" w:color="000000"/>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rPr>
            </w:pPr>
            <w:r>
              <w:rPr>
                <w:rFonts w:cs="Times New Roman" w:ascii="Times New Roman" w:hAnsi="Times New Roman"/>
              </w:rPr>
              <w:t xml:space="preserve">Начальная цена, руб </w:t>
            </w:r>
          </w:p>
        </w:tc>
      </w:tr>
      <w:tr>
        <w:trPr/>
        <w:tc>
          <w:tcPr>
            <w:tcW w:w="675" w:type="dxa"/>
            <w:vMerge w:val="continue"/>
            <w:tcBorders>
              <w:top w:val="single" w:sz="4" w:space="0" w:color="000000"/>
              <w:left w:val="single" w:sz="4" w:space="0" w:color="000000"/>
              <w:bottom w:val="single" w:sz="4" w:space="0" w:color="000000"/>
            </w:tcBorders>
            <w:shd w:fill="auto" w:val="clear"/>
          </w:tcPr>
          <w:p>
            <w:pPr>
              <w:pStyle w:val="Normal"/>
              <w:bidi w:val="0"/>
              <w:snapToGrid w:val="false"/>
              <w:jc w:val="left"/>
              <w:rPr>
                <w:rFonts w:ascii="Times New Roman" w:hAnsi="Times New Roman" w:cs="Times New Roman"/>
              </w:rPr>
            </w:pPr>
            <w:r>
              <w:rPr>
                <w:rFonts w:cs="Times New Roman" w:ascii="Times New Roman" w:hAnsi="Times New Roman"/>
              </w:rPr>
            </w:r>
          </w:p>
        </w:tc>
        <w:tc>
          <w:tcPr>
            <w:tcW w:w="1707" w:type="dxa"/>
            <w:vMerge w:val="continue"/>
            <w:tcBorders>
              <w:top w:val="single" w:sz="4" w:space="0" w:color="000000"/>
              <w:left w:val="single" w:sz="4" w:space="0" w:color="000000"/>
              <w:bottom w:val="single" w:sz="4" w:space="0" w:color="000000"/>
            </w:tcBorders>
            <w:shd w:fill="auto" w:val="clear"/>
          </w:tcPr>
          <w:p>
            <w:pPr>
              <w:pStyle w:val="Normal"/>
              <w:bidi w:val="0"/>
              <w:snapToGrid w:val="false"/>
              <w:jc w:val="left"/>
              <w:rPr>
                <w:rFonts w:ascii="Times New Roman" w:hAnsi="Times New Roman" w:cs="Times New Roman"/>
              </w:rPr>
            </w:pPr>
            <w:r>
              <w:rPr>
                <w:rFonts w:cs="Times New Roman" w:ascii="Times New Roman" w:hAnsi="Times New Roman"/>
              </w:rPr>
            </w:r>
          </w:p>
        </w:tc>
        <w:tc>
          <w:tcPr>
            <w:tcW w:w="1124" w:type="dxa"/>
            <w:tcBorders>
              <w:left w:val="single" w:sz="4" w:space="0" w:color="000000"/>
              <w:bottom w:val="single" w:sz="4" w:space="0" w:color="000000"/>
            </w:tcBorders>
            <w:shd w:fill="auto" w:val="clear"/>
          </w:tcPr>
          <w:p>
            <w:pPr>
              <w:pStyle w:val="Normal"/>
              <w:bidi w:val="0"/>
              <w:jc w:val="center"/>
              <w:rPr>
                <w:rFonts w:ascii="Times New Roman" w:hAnsi="Times New Roman" w:cs="Times New Roman"/>
              </w:rPr>
            </w:pPr>
            <w:r>
              <w:rPr>
                <w:rFonts w:cs="Times New Roman" w:ascii="Times New Roman" w:hAnsi="Times New Roman"/>
              </w:rPr>
              <w:t>1</w:t>
            </w:r>
          </w:p>
        </w:tc>
        <w:tc>
          <w:tcPr>
            <w:tcW w:w="2894" w:type="dxa"/>
            <w:tcBorders>
              <w:left w:val="single" w:sz="4" w:space="0" w:color="000000"/>
              <w:bottom w:val="single" w:sz="4" w:space="0" w:color="000000"/>
            </w:tcBorders>
            <w:shd w:fill="auto" w:val="clear"/>
          </w:tcPr>
          <w:p>
            <w:pPr>
              <w:pStyle w:val="Normal"/>
              <w:bidi w:val="0"/>
              <w:jc w:val="left"/>
              <w:rPr/>
            </w:pPr>
            <w:bookmarkStart w:id="3" w:name="__DdeLink__449_1721915922"/>
            <w:r>
              <w:rPr>
                <w:rFonts w:cs="Times New Roman" w:ascii="Times New Roman" w:hAnsi="Times New Roman"/>
                <w:lang w:val="en-US"/>
              </w:rPr>
              <w:t xml:space="preserve">Автомобиль легковой, марка, </w:t>
            </w:r>
            <w:r>
              <w:rPr>
                <w:rFonts w:cs="Times New Roman" w:ascii="Times New Roman" w:hAnsi="Times New Roman"/>
                <w:lang w:val="ru-RU"/>
              </w:rPr>
              <w:t>модель</w:t>
            </w:r>
            <w:r>
              <w:rPr>
                <w:rFonts w:cs="Times New Roman" w:ascii="Times New Roman" w:hAnsi="Times New Roman"/>
                <w:lang w:val="en-US"/>
              </w:rPr>
              <w:t xml:space="preserve">: </w:t>
            </w:r>
            <w:r>
              <w:rPr>
                <w:rFonts w:cs="Times New Roman" w:ascii="Times New Roman" w:hAnsi="Times New Roman"/>
                <w:lang w:val="ru-RU"/>
              </w:rPr>
              <w:t>ФОРД МОНДЕО</w:t>
            </w:r>
            <w:r>
              <w:rPr>
                <w:rFonts w:cs="Times New Roman" w:ascii="Times New Roman" w:hAnsi="Times New Roman"/>
                <w:lang w:val="en-US"/>
              </w:rPr>
              <w:t xml:space="preserve">,  VIN: WFODXXGBBD8D01916, </w:t>
            </w:r>
            <w:r>
              <w:rPr>
                <w:rFonts w:eastAsia="Times New Roman" w:cs="Times New Roman" w:ascii="Times New Roman" w:hAnsi="Times New Roman"/>
                <w:sz w:val="24"/>
                <w:szCs w:val="24"/>
                <w:lang w:val="en-US" w:eastAsia="ru-RU"/>
              </w:rPr>
              <w:t xml:space="preserve">регистрационный знак: </w:t>
            </w:r>
            <w:bookmarkStart w:id="4" w:name="__DdeLink__820_2304476977"/>
            <w:r>
              <w:rPr>
                <w:rFonts w:eastAsia="Times New Roman" w:cs="Times New Roman" w:ascii="Times New Roman" w:hAnsi="Times New Roman"/>
                <w:sz w:val="24"/>
                <w:szCs w:val="24"/>
                <w:lang w:val="ru-RU" w:eastAsia="ru-RU"/>
              </w:rPr>
              <w:t>С736КС</w:t>
            </w:r>
            <w:r>
              <w:rPr>
                <w:rFonts w:eastAsia="Times New Roman" w:cs="Times New Roman" w:ascii="Times New Roman" w:hAnsi="Times New Roman"/>
                <w:sz w:val="24"/>
                <w:szCs w:val="24"/>
                <w:lang w:val="ru-RU" w:eastAsia="ru-RU"/>
              </w:rPr>
              <w:t>46</w:t>
            </w:r>
            <w:bookmarkEnd w:id="4"/>
            <w:r>
              <w:rPr>
                <w:rFonts w:eastAsia="Times New Roman" w:cs="Times New Roman" w:ascii="Times New Roman" w:hAnsi="Times New Roman"/>
                <w:sz w:val="24"/>
                <w:szCs w:val="24"/>
                <w:lang w:val="ru-RU" w:eastAsia="ru-RU"/>
              </w:rPr>
              <w:t>, год</w:t>
            </w:r>
            <w:r>
              <w:rPr>
                <w:rFonts w:eastAsia="Times New Roman" w:cs="Times New Roman" w:ascii="Times New Roman" w:hAnsi="Times New Roman"/>
                <w:sz w:val="24"/>
                <w:szCs w:val="24"/>
                <w:lang w:val="en-US" w:eastAsia="ru-RU"/>
              </w:rPr>
              <w:t xml:space="preserve"> изготовления: </w:t>
            </w:r>
            <w:r>
              <w:rPr>
                <w:rFonts w:eastAsia="Times New Roman" w:cs="Times New Roman" w:ascii="Times New Roman" w:hAnsi="Times New Roman"/>
                <w:sz w:val="24"/>
                <w:szCs w:val="24"/>
                <w:lang w:val="ru-RU" w:eastAsia="ru-RU"/>
              </w:rPr>
              <w:t>2008</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val="ru-RU" w:eastAsia="ru-RU"/>
              </w:rPr>
              <w:t xml:space="preserve">цвет темно-серый, совместная собственность </w:t>
            </w:r>
            <w:bookmarkEnd w:id="3"/>
          </w:p>
        </w:tc>
        <w:tc>
          <w:tcPr>
            <w:tcW w:w="1605" w:type="dxa"/>
            <w:tcBorders>
              <w:left w:val="single" w:sz="4" w:space="0" w:color="000000"/>
              <w:bottom w:val="single" w:sz="4" w:space="0" w:color="000000"/>
            </w:tcBorders>
            <w:shd w:fill="auto" w:val="clear"/>
          </w:tcPr>
          <w:p>
            <w:pPr>
              <w:pStyle w:val="Normal"/>
              <w:bidi w:val="0"/>
              <w:jc w:val="center"/>
              <w:rPr>
                <w:rFonts w:ascii="Times New Roman" w:hAnsi="Times New Roman" w:cs="Times New Roman"/>
              </w:rPr>
            </w:pPr>
            <w:r>
              <w:rPr>
                <w:rFonts w:cs="Times New Roman" w:ascii="Times New Roman" w:hAnsi="Times New Roman"/>
              </w:rPr>
              <w:t>1</w:t>
            </w:r>
          </w:p>
        </w:tc>
        <w:tc>
          <w:tcPr>
            <w:tcW w:w="1864" w:type="dxa"/>
            <w:tcBorders>
              <w:left w:val="single" w:sz="4" w:space="0" w:color="000000"/>
              <w:bottom w:val="single" w:sz="4" w:space="0" w:color="000000"/>
              <w:right w:val="single" w:sz="4" w:space="0" w:color="000000"/>
            </w:tcBorders>
            <w:shd w:fill="auto" w:val="clear"/>
          </w:tcPr>
          <w:p>
            <w:pPr>
              <w:pStyle w:val="Normal"/>
              <w:bidi w:val="0"/>
              <w:jc w:val="left"/>
              <w:rPr/>
            </w:pPr>
            <w:r>
              <w:rPr>
                <w:rFonts w:eastAsia="Times New Roman" w:cs="Times New Roman" w:ascii="Times New Roman" w:hAnsi="Times New Roman"/>
                <w:color w:val="auto"/>
                <w:sz w:val="24"/>
                <w:szCs w:val="24"/>
                <w:lang w:val="ru-RU" w:eastAsia="zh-CN" w:bidi="hi-IN"/>
              </w:rPr>
              <w:t xml:space="preserve"> </w:t>
            </w:r>
            <w:r>
              <w:rPr>
                <w:rFonts w:eastAsia="NSimSun" w:cs="Times New Roman" w:ascii="Times New Roman" w:hAnsi="Times New Roman"/>
                <w:color w:val="auto"/>
                <w:sz w:val="24"/>
                <w:szCs w:val="24"/>
                <w:lang w:val="ru-RU" w:eastAsia="zh-CN" w:bidi="hi-IN"/>
              </w:rPr>
              <w:t>520 000,00</w:t>
            </w:r>
          </w:p>
        </w:tc>
      </w:tr>
      <w:tr>
        <w:trPr/>
        <w:tc>
          <w:tcPr>
            <w:tcW w:w="675" w:type="dxa"/>
            <w:vMerge w:val="continue"/>
            <w:tcBorders>
              <w:top w:val="single" w:sz="4" w:space="0" w:color="000000"/>
              <w:left w:val="single" w:sz="4" w:space="0" w:color="000000"/>
              <w:bottom w:val="single" w:sz="4" w:space="0" w:color="000000"/>
            </w:tcBorders>
            <w:shd w:fill="auto" w:val="clear"/>
          </w:tcPr>
          <w:p>
            <w:pPr>
              <w:pStyle w:val="Normal"/>
              <w:bidi w:val="0"/>
              <w:snapToGrid w:val="false"/>
              <w:jc w:val="left"/>
              <w:rPr>
                <w:rFonts w:ascii="Times New Roman" w:hAnsi="Times New Roman" w:cs="Times New Roman"/>
              </w:rPr>
            </w:pPr>
            <w:r>
              <w:rPr>
                <w:rFonts w:cs="Times New Roman" w:ascii="Times New Roman" w:hAnsi="Times New Roman"/>
              </w:rPr>
            </w:r>
          </w:p>
        </w:tc>
        <w:tc>
          <w:tcPr>
            <w:tcW w:w="1707" w:type="dxa"/>
            <w:vMerge w:val="continue"/>
            <w:tcBorders>
              <w:top w:val="single" w:sz="4" w:space="0" w:color="000000"/>
              <w:left w:val="single" w:sz="4" w:space="0" w:color="000000"/>
              <w:bottom w:val="single" w:sz="4" w:space="0" w:color="000000"/>
            </w:tcBorders>
            <w:shd w:fill="auto" w:val="clear"/>
          </w:tcPr>
          <w:p>
            <w:pPr>
              <w:pStyle w:val="Normal"/>
              <w:bidi w:val="0"/>
              <w:snapToGrid w:val="false"/>
              <w:jc w:val="left"/>
              <w:rPr>
                <w:rFonts w:ascii="Times New Roman" w:hAnsi="Times New Roman" w:cs="Times New Roman"/>
              </w:rPr>
            </w:pPr>
            <w:r>
              <w:rPr>
                <w:rFonts w:cs="Times New Roman" w:ascii="Times New Roman" w:hAnsi="Times New Roman"/>
              </w:rPr>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rPr>
            </w:pPr>
            <w:r>
              <w:rPr>
                <w:rFonts w:cs="Times New Roman" w:ascii="Times New Roman" w:hAnsi="Times New Roman"/>
              </w:rPr>
              <w:t>Ознакомление с имуществом производится по следующему адресу:</w:t>
            </w:r>
          </w:p>
        </w:tc>
      </w:tr>
      <w:tr>
        <w:trPr/>
        <w:tc>
          <w:tcPr>
            <w:tcW w:w="675" w:type="dxa"/>
            <w:vMerge w:val="continue"/>
            <w:tcBorders>
              <w:top w:val="single" w:sz="4" w:space="0" w:color="000000"/>
              <w:left w:val="single" w:sz="4" w:space="0" w:color="000000"/>
              <w:bottom w:val="single" w:sz="4" w:space="0" w:color="000000"/>
            </w:tcBorders>
            <w:shd w:fill="auto" w:val="clear"/>
          </w:tcPr>
          <w:p>
            <w:pPr>
              <w:pStyle w:val="Normal"/>
              <w:bidi w:val="0"/>
              <w:snapToGrid w:val="false"/>
              <w:jc w:val="left"/>
              <w:rPr>
                <w:rFonts w:ascii="Times New Roman" w:hAnsi="Times New Roman" w:cs="Times New Roman"/>
              </w:rPr>
            </w:pPr>
            <w:r>
              <w:rPr>
                <w:rFonts w:cs="Times New Roman" w:ascii="Times New Roman" w:hAnsi="Times New Roman"/>
              </w:rPr>
            </w:r>
          </w:p>
        </w:tc>
        <w:tc>
          <w:tcPr>
            <w:tcW w:w="1707" w:type="dxa"/>
            <w:vMerge w:val="continue"/>
            <w:tcBorders>
              <w:top w:val="single" w:sz="4" w:space="0" w:color="000000"/>
              <w:left w:val="single" w:sz="4" w:space="0" w:color="000000"/>
              <w:bottom w:val="single" w:sz="4" w:space="0" w:color="000000"/>
            </w:tcBorders>
            <w:shd w:fill="auto" w:val="clear"/>
          </w:tcPr>
          <w:p>
            <w:pPr>
              <w:pStyle w:val="Normal"/>
              <w:bidi w:val="0"/>
              <w:snapToGrid w:val="false"/>
              <w:jc w:val="left"/>
              <w:rPr>
                <w:rFonts w:ascii="Times New Roman" w:hAnsi="Times New Roman" w:cs="Times New Roman"/>
              </w:rPr>
            </w:pPr>
            <w:r>
              <w:rPr>
                <w:rFonts w:cs="Times New Roman" w:ascii="Times New Roman" w:hAnsi="Times New Roman"/>
              </w:rPr>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pPr>
            <w:r>
              <w:rPr>
                <w:rFonts w:cs="Times New Roman" w:ascii="Times New Roman" w:hAnsi="Times New Roman"/>
                <w:sz w:val="24"/>
                <w:szCs w:val="24"/>
              </w:rPr>
              <w:t xml:space="preserve">По лоту 1 можно ознакомиться по месту его нахождения: </w:t>
            </w:r>
            <w:r>
              <w:rPr>
                <w:rFonts w:cs="Times New Roman" w:ascii="Times New Roman" w:hAnsi="Times New Roman"/>
                <w:color w:val="000000"/>
                <w:sz w:val="24"/>
                <w:szCs w:val="24"/>
                <w:shd w:fill="FFFFFF" w:val="clear"/>
              </w:rPr>
              <w:t xml:space="preserve">307370 Курская обл., Рыльский р-н, гор. Рыльск,ул. </w:t>
            </w:r>
            <w:r>
              <w:rPr>
                <w:rFonts w:cs="Times New Roman" w:ascii="Times New Roman" w:hAnsi="Times New Roman"/>
                <w:color w:val="000000"/>
                <w:sz w:val="24"/>
                <w:szCs w:val="24"/>
                <w:shd w:fill="FFFFFF" w:val="clear"/>
              </w:rPr>
              <w:t xml:space="preserve">Промышленная, </w:t>
            </w:r>
            <w:r>
              <w:rPr>
                <w:rFonts w:cs="Times New Roman" w:ascii="Times New Roman" w:hAnsi="Times New Roman"/>
                <w:color w:val="000000"/>
                <w:sz w:val="24"/>
                <w:szCs w:val="24"/>
                <w:shd w:fill="FFFFFF" w:val="clear"/>
              </w:rPr>
              <w:t xml:space="preserve">д. </w:t>
            </w:r>
            <w:r>
              <w:rPr>
                <w:rFonts w:cs="Times New Roman" w:ascii="Times New Roman" w:hAnsi="Times New Roman"/>
                <w:color w:val="000000"/>
                <w:sz w:val="24"/>
                <w:szCs w:val="24"/>
                <w:shd w:fill="FFFFFF" w:val="clear"/>
              </w:rPr>
              <w:t>5А</w:t>
            </w:r>
            <w:r>
              <w:rPr>
                <w:rFonts w:cs="Times New Roman" w:ascii="Times New Roman" w:hAnsi="Times New Roman"/>
                <w:color w:val="auto"/>
                <w:sz w:val="24"/>
                <w:szCs w:val="24"/>
              </w:rPr>
              <w:t xml:space="preserve">, </w:t>
            </w:r>
            <w:r>
              <w:rPr>
                <w:rFonts w:cs="Times New Roman" w:ascii="Times New Roman" w:hAnsi="Times New Roman"/>
                <w:sz w:val="24"/>
                <w:szCs w:val="24"/>
              </w:rPr>
              <w:t xml:space="preserve">предварительно согласовав время с Финансовым управляющим </w:t>
            </w:r>
            <w:r>
              <w:rPr>
                <w:rFonts w:eastAsia="NSimSun" w:cs="Times New Roman" w:ascii="Times New Roman" w:hAnsi="Times New Roman"/>
                <w:color w:val="auto"/>
                <w:sz w:val="24"/>
                <w:szCs w:val="24"/>
                <w:lang w:val="ru-RU" w:eastAsia="zh-CN" w:bidi="hi-IN"/>
              </w:rPr>
              <w:t xml:space="preserve">Богдановой Кристиной Владимировной </w:t>
            </w:r>
            <w:r>
              <w:rPr>
                <w:rFonts w:cs="Times New Roman" w:ascii="Times New Roman" w:hAnsi="Times New Roman"/>
                <w:sz w:val="24"/>
                <w:szCs w:val="24"/>
              </w:rPr>
              <w:t xml:space="preserve">по тел. +79066930110, за исключением выходных и праздничных дней.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2</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Сроки продажи имущества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Организовать продажу имущества в течение 10 дней со дня утверждения настоящего Положения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3</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Организатор торгов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pPr>
            <w:r>
              <w:rPr>
                <w:rFonts w:cs="Times New Roman" w:ascii="Times New Roman" w:hAnsi="Times New Roman"/>
                <w:sz w:val="24"/>
                <w:szCs w:val="24"/>
              </w:rPr>
              <w:t xml:space="preserve">Финансовый управляющий </w:t>
            </w:r>
            <w:r>
              <w:rPr>
                <w:rFonts w:eastAsia="NSimSun" w:cs="Times New Roman" w:ascii="Times New Roman" w:hAnsi="Times New Roman"/>
                <w:color w:val="auto"/>
                <w:sz w:val="24"/>
                <w:szCs w:val="24"/>
                <w:lang w:val="ru-RU" w:eastAsia="zh-CN" w:bidi="hi-IN"/>
              </w:rPr>
              <w:t>Богданова Кристина Владимировна</w:t>
            </w:r>
            <w:r>
              <w:rPr>
                <w:rFonts w:cs="Times New Roman" w:ascii="Times New Roman" w:hAnsi="Times New Roman"/>
                <w:sz w:val="24"/>
                <w:szCs w:val="24"/>
              </w:rPr>
              <w:t xml:space="preserve"> , действующий на основании </w:t>
            </w:r>
            <w:r>
              <w:rPr>
                <w:rFonts w:cs="Times New Roman" w:ascii="Times New Roman" w:hAnsi="Times New Roman"/>
                <w:color w:val="000000"/>
                <w:sz w:val="24"/>
                <w:szCs w:val="24"/>
                <w:shd w:fill="FFFFFF" w:val="clear"/>
              </w:rPr>
              <w:t>Решения Арбитражного суда Курской области от 14.05.2025 года (резолютивная часть объявлена 13.05.2025 года) по делу № А35-2088/2025</w:t>
            </w:r>
          </w:p>
          <w:p>
            <w:pPr>
              <w:pStyle w:val="Normal"/>
              <w:bidi w:val="0"/>
              <w:jc w:val="left"/>
              <w:rPr/>
            </w:pPr>
            <w:r>
              <w:rPr>
                <w:rFonts w:cs="Times New Roman" w:ascii="Times New Roman" w:hAnsi="Times New Roman"/>
                <w:sz w:val="24"/>
                <w:szCs w:val="24"/>
              </w:rPr>
              <w:t xml:space="preserve">Сведения об организаторе торгов: - почтовый адрес: 305045 Курская обл, г. Курск, ул. Менделеева. дом 24, кв. 158 - адрес электронной почты: </w:t>
            </w:r>
            <w:r>
              <w:rPr>
                <w:rFonts w:cs="Times New Roman" w:ascii="Times New Roman" w:hAnsi="Times New Roman"/>
                <w:sz w:val="24"/>
                <w:szCs w:val="24"/>
                <w:lang w:val="en-US"/>
              </w:rPr>
              <w:t>kr.bogdanova158@yandex.ru,</w:t>
            </w:r>
            <w:r>
              <w:rPr>
                <w:rFonts w:eastAsia="NSimSun" w:cs="Times New Roman" w:ascii="Times New Roman" w:hAnsi="Times New Roman"/>
                <w:color w:val="auto"/>
                <w:sz w:val="24"/>
                <w:szCs w:val="24"/>
                <w:lang w:val="en-US" w:eastAsia="zh-CN" w:bidi="hi-IN"/>
              </w:rPr>
              <w:t xml:space="preserve"> </w:t>
            </w:r>
            <w:r>
              <w:rPr>
                <w:rFonts w:eastAsia="NSimSun" w:cs="Times New Roman" w:ascii="Times New Roman" w:hAnsi="Times New Roman"/>
                <w:color w:val="auto"/>
                <w:sz w:val="24"/>
                <w:szCs w:val="24"/>
                <w:lang w:val="ru-RU" w:eastAsia="zh-CN" w:bidi="hi-IN"/>
              </w:rPr>
              <w:t>к</w:t>
            </w:r>
            <w:r>
              <w:rPr>
                <w:rFonts w:cs="Times New Roman" w:ascii="Times New Roman" w:hAnsi="Times New Roman"/>
                <w:sz w:val="24"/>
                <w:szCs w:val="24"/>
              </w:rPr>
              <w:t xml:space="preserve">онтактный номер: +79066930110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4</w:t>
            </w:r>
          </w:p>
        </w:tc>
        <w:tc>
          <w:tcPr>
            <w:tcW w:w="1707" w:type="dxa"/>
            <w:tcBorders>
              <w:left w:val="single" w:sz="4" w:space="0" w:color="000000"/>
              <w:bottom w:val="single" w:sz="4" w:space="0" w:color="000000"/>
            </w:tcBorders>
            <w:shd w:fill="auto" w:val="clear"/>
          </w:tcPr>
          <w:p>
            <w:pPr>
              <w:pStyle w:val="Normal"/>
              <w:bidi w:val="0"/>
              <w:snapToGrid w:val="false"/>
              <w:jc w:val="left"/>
              <w:rPr>
                <w:rFonts w:ascii="Times New Roman" w:hAnsi="Times New Roman" w:cs="Times New Roman"/>
                <w:sz w:val="24"/>
                <w:szCs w:val="24"/>
              </w:rPr>
            </w:pPr>
            <w:r>
              <w:rPr>
                <w:rFonts w:cs="Times New Roman" w:ascii="Times New Roman" w:hAnsi="Times New Roman"/>
                <w:sz w:val="24"/>
                <w:szCs w:val="24"/>
              </w:rPr>
              <w:t xml:space="preserve">Форма торгов и форма представления предложений о цене имущества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snapToGrid w:val="false"/>
              <w:jc w:val="left"/>
              <w:rPr>
                <w:rFonts w:ascii="Times New Roman" w:hAnsi="Times New Roman" w:cs="Times New Roman"/>
                <w:sz w:val="24"/>
                <w:szCs w:val="24"/>
              </w:rPr>
            </w:pPr>
            <w:r>
              <w:rPr>
                <w:rFonts w:cs="Times New Roman" w:ascii="Times New Roman" w:hAnsi="Times New Roman"/>
                <w:sz w:val="24"/>
                <w:szCs w:val="24"/>
              </w:rPr>
            </w:r>
          </w:p>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5</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Место проведения торгов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Торги проводятся в электронной форме на электронной площадке АО "РАД", размещенной на сайте https://lot-online.ru/, в сети Интернет.</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6</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Размер задатка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Лот №1: 10%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7</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Срок и порядок внесения задатка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1. Срок внесения задатка - не позднее даты окончания срока приема заявок на участие в торгах. 2. Внесение задатка осуществляется на счёт указанный Организатором торгов в публикации. (ЕФРСБ)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8</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Шаг аукциона</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Лот №1: 5%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9</w:t>
            </w:r>
          </w:p>
        </w:tc>
        <w:tc>
          <w:tcPr>
            <w:tcW w:w="1707" w:type="dxa"/>
            <w:tcBorders>
              <w:left w:val="single" w:sz="4" w:space="0" w:color="000000"/>
              <w:bottom w:val="single" w:sz="4" w:space="0" w:color="000000"/>
            </w:tcBorders>
            <w:shd w:fill="auto" w:val="clear"/>
          </w:tcPr>
          <w:p>
            <w:pPr>
              <w:pStyle w:val="NormalWeb"/>
              <w:bidi w:val="0"/>
              <w:spacing w:before="0" w:after="0"/>
              <w:ind w:left="0" w:right="0" w:hanging="0"/>
              <w:jc w:val="left"/>
              <w:rPr>
                <w:rFonts w:ascii="Times New Roman" w:hAnsi="Times New Roman" w:cs="Times New Roman"/>
                <w:sz w:val="24"/>
                <w:szCs w:val="24"/>
              </w:rPr>
            </w:pPr>
            <w:r>
              <w:rPr>
                <w:rFonts w:cs="Times New Roman"/>
                <w:sz w:val="24"/>
                <w:szCs w:val="24"/>
              </w:rPr>
              <w:t>Подготовка к проведению торгов</w:t>
            </w:r>
          </w:p>
        </w:tc>
        <w:tc>
          <w:tcPr>
            <w:tcW w:w="7487" w:type="dxa"/>
            <w:gridSpan w:val="4"/>
            <w:tcBorders>
              <w:left w:val="single" w:sz="4" w:space="0" w:color="000000"/>
              <w:bottom w:val="single" w:sz="4" w:space="0" w:color="000000"/>
              <w:right w:val="single" w:sz="4" w:space="0" w:color="000000"/>
            </w:tcBorders>
            <w:shd w:fill="auto" w:val="clear"/>
          </w:tcPr>
          <w:p>
            <w:pPr>
              <w:pStyle w:val="NormalWeb"/>
              <w:spacing w:before="0" w:after="0"/>
              <w:ind w:left="0" w:right="0" w:hanging="0"/>
              <w:jc w:val="both"/>
              <w:rPr>
                <w:rFonts w:ascii="Times New Roman" w:hAnsi="Times New Roman" w:cs="Times New Roman"/>
                <w:sz w:val="24"/>
                <w:szCs w:val="24"/>
              </w:rPr>
            </w:pPr>
            <w:r>
              <w:rPr>
                <w:rFonts w:cs="Times New Roman"/>
                <w:sz w:val="24"/>
                <w:szCs w:val="24"/>
              </w:rPr>
              <w:t>9.1.Организацию и проведение торгов обеспечивает Организатор торгов.</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9.2. Организатор торгов выполняет следующие функции: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обеспечение равного доступа всех лиц к участию в торгах, в том числе к информации о проведении торгов, права лиц на участие в торгах без взимания с них платы, не предусмотренной Федеральным законом «О несостоятельности (банкротстве)».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подготовку документов необходимых для проведения торгов,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публикацию сообщений,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осмотр реализуемого имущества любыми заинтересованными лицами</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прием заявок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прием задатков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анализ поступивших заявок и приложенных к ним документов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допуск заявителей к торгам;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обеспечение конфиденциальности сведений, содержащихся в представленных заявках на участие в торгах до начала торгов либо до момента открытия доступа к представленным в форме электронных документов заявкам на участие в торгах;</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проведение торгов, подведение итогов торгов, определение победителя торгов;</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составление, оформление и подписание протокола об итогах торгов;</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осуществление иных действий.</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9.3. В сообщении о проведении торгов по продаже имущества должны содержаться: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-сведения об имуществе, его составе, характеристиках, описание имущества, порядок ознакомления с имуществом, сведения об обременениях имущества правами третьих лиц;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сведения о продаже имущества посредством открытых торгов в форме аукциона (или публичного предложения) и закрытой форме представления предложений о цене имущества;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начальная цена продажи имущества;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величина повышения начальной цены продажи имущества (шаг аукциона)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для аукциона и величина снижения начальной цены продажи имущества (шаг понижения), цена отсечения (при установлении таковой)</w:t>
            </w:r>
          </w:p>
          <w:p>
            <w:pPr>
              <w:pStyle w:val="NormalWeb"/>
              <w:bidi w:val="0"/>
              <w:spacing w:before="0" w:after="0"/>
              <w:ind w:left="0" w:right="0" w:hanging="0"/>
              <w:jc w:val="both"/>
              <w:rPr>
                <w:rFonts w:ascii="Times New Roman" w:hAnsi="Times New Roman" w:cs="Times New Roman"/>
                <w:sz w:val="24"/>
                <w:szCs w:val="24"/>
              </w:rPr>
            </w:pPr>
            <w:r>
              <w:rPr>
                <w:rFonts w:cs="Times New Roman"/>
                <w:sz w:val="24"/>
                <w:szCs w:val="24"/>
              </w:rPr>
              <w:t>- для публичного предложения;</w:t>
            </w:r>
          </w:p>
          <w:p>
            <w:pPr>
              <w:pStyle w:val="Normal"/>
              <w:spacing w:before="0" w:after="0"/>
              <w:ind w:left="0" w:right="0" w:hanging="0"/>
              <w:jc w:val="both"/>
              <w:rPr>
                <w:rFonts w:ascii="Times New Roman" w:hAnsi="Times New Roman" w:cs="Times New Roman"/>
                <w:sz w:val="24"/>
                <w:szCs w:val="24"/>
              </w:rPr>
            </w:pPr>
            <w:r>
              <w:rPr>
                <w:rFonts w:cs="Times New Roman" w:ascii="Times New Roman" w:hAnsi="Times New Roman"/>
                <w:sz w:val="24"/>
                <w:szCs w:val="24"/>
              </w:rPr>
              <w:t>- порядок, место, срок и время представления заявок на участие в торгах и предложений о цене имущества. Для аукциона: даты и время начала и окончания представления указанных заявок, время окончания представления предложений не указывается. Для публичного предложения: дата и точное время начала и окончания представления заявок на участие в торгах для каждого периода проведения торгов, по истечении которого последовательно снижается начальная цена продажи имущества;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порядок оформления участия в торгах, перечень представляемых участниками торгов документов и требования к их оформлению;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размер задатка, сроки и порядок внесения задатка, реквизиты счетов, на которые вносится задаток;</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порядок и критерии выявления победителя торгов;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дата, время и место подведения результатов торгов;</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порядок и срок заключения договора купли-продажи имущества;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сроки платежей, реквизиты счетов, на которые вносятся платежи;</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сведения об организаторе торгов, его почтовый адрес, адрес электронной почты, номер контактного телефона;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идентификационный номер налогоплательщика).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10</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Заявка на участие в торгах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Заявка на участие в торгах составляется в произвольной форме на русском языке и должна содержать следующие сведения: а) наименование, организационно-правовая форма, место нахождения, почтовый адрес заявителя (для юридического лица); б) фамилия, имя, отчество, паспортные данные, сведения о месте жительства заявителя (для физического лица); в) номер контактного телефона, адрес электронной почты заявителя; 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 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 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К заявке на участие в торгах должны прилагаться копии следующих документов в форме электронных документов, подписанных электронной цифровой подписью заявителя:</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а) выписка из единого государственного реестра юридических лиц, выданная не ранее чем за тридцать дней до даты представления заявки (нотариально заверенная или оригинал), учредительные документы и свидетельства о государственной регистрации юридического лица и о постановке на налоговый учёт (заверенные подписью и печатью заявителя) (для юридического лица);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б) выписка из единого государственного реестра индивидуальных предпринимателей, выданная не ранее чем за тридцать дней до даты представления заявки (нотариально заверенная или оригинал), свидетельство о государственной регистрации (заверенные подписью и печатью (при наличии) заявителя) (для индивидуального предпринимателя)</w:t>
            </w:r>
          </w:p>
          <w:p>
            <w:pPr>
              <w:pStyle w:val="NormalWeb"/>
              <w:spacing w:before="0" w:after="0"/>
              <w:ind w:left="0" w:right="0" w:hanging="0"/>
              <w:jc w:val="both"/>
              <w:rPr/>
            </w:pPr>
            <w:r>
              <w:rPr>
                <w:rFonts w:eastAsia="Times New Roman" w:cs="Times New Roman"/>
                <w:sz w:val="24"/>
                <w:szCs w:val="24"/>
              </w:rPr>
              <w:t xml:space="preserve"> </w:t>
            </w:r>
            <w:r>
              <w:rPr>
                <w:rFonts w:cs="Times New Roman"/>
                <w:sz w:val="24"/>
                <w:szCs w:val="24"/>
              </w:rPr>
              <w:t>в) паспорт (для физического лица);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г) документ, подтверждающий полномочия лица на осуществление действий от имени заявителя с правом подписания заявки (доверенность представителя или протокол о назначении исполнительного органа);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д) чек об оплате задатка.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Заявитель обязан обеспечить поступление вышеуказанных документов организатору торгов и оператору электронной площадки вместе с заявкой на участие в торгах. Риск несвоевременного поступления документов несет заявитель.</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Организатор торгов определяет участников торгов в соответствии с положениями ст.110 ФЗ «О несостоятельности (банкротстве)»: проверяет соответствие заявки на участие в торгах и приложенных к ней документов требованиям настоящего положения, поступление задатков.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Решение об отказе в допуске заявителя к участию в торгах принимается в случае, если: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1) заявка на участие в торгах не соответствует требованиям, установленным настоящим Положением;</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2) представленные заявителем документы не соответствуют установленным к ним требованиям или сведения, содержащиеся в них, недостоверны;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3) поступление задатка не подтверждено на дату составления протокола об определении участников торгов.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Заявитель приобретает статус участника торгов с момента оформления протокола об определении участников торгов. Решение организатора торгов о допуске заявителей к участию в открытых торгах оформляется протоколом об определении участников торгов. Протокол об определении участников торгов размещается Организатором торгов в форме электронного документа на электронной торговой площадке.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В торгах могут принимать участие только лица, признанные участниками торгов. Торги проводятся на электронной площадке в день и время, указанные в электронном сообщении о продаже.</w:t>
            </w:r>
          </w:p>
          <w:p>
            <w:pPr>
              <w:pStyle w:val="NormalWeb"/>
              <w:spacing w:before="0" w:after="0"/>
              <w:ind w:left="0" w:right="0" w:hanging="0"/>
              <w:jc w:val="both"/>
              <w:rPr>
                <w:rFonts w:ascii="Times New Roman" w:hAnsi="Times New Roman" w:eastAsia="Times New Roman" w:cs="Times New Roman"/>
                <w:color w:val="1A1A1A"/>
                <w:sz w:val="24"/>
                <w:szCs w:val="24"/>
                <w:lang w:eastAsia="ru-RU"/>
              </w:rPr>
            </w:pPr>
            <w:r>
              <w:rPr>
                <w:rFonts w:eastAsia="Times New Roman" w:cs="Times New Roman"/>
                <w:color w:val="1A1A1A"/>
                <w:sz w:val="24"/>
                <w:szCs w:val="24"/>
                <w:lang w:eastAsia="ru-RU"/>
              </w:rPr>
              <w:t>Торги проводятся путем повышения начальной цены продажи на величину, кратную величине «шага аукциона».</w:t>
            </w:r>
          </w:p>
          <w:p>
            <w:pPr>
              <w:pStyle w:val="Normal"/>
              <w:shd w:val="clear" w:fill="FFFFFF"/>
              <w:bidi w:val="0"/>
              <w:spacing w:lineRule="auto" w:line="240" w:before="0" w:after="0"/>
              <w:ind w:left="0" w:right="0" w:hanging="0"/>
              <w:jc w:val="left"/>
              <w:rPr>
                <w:rFonts w:ascii="Times New Roman" w:hAnsi="Times New Roman" w:eastAsia="Times New Roman" w:cs="Times New Roman"/>
                <w:color w:val="1A1A1A"/>
                <w:sz w:val="24"/>
                <w:szCs w:val="24"/>
                <w:lang w:eastAsia="ru-RU"/>
              </w:rPr>
            </w:pPr>
            <w:r>
              <w:rPr>
                <w:rFonts w:eastAsia="Times New Roman" w:cs="Times New Roman" w:ascii="Times New Roman" w:hAnsi="Times New Roman"/>
                <w:color w:val="1A1A1A"/>
                <w:sz w:val="24"/>
                <w:szCs w:val="24"/>
                <w:lang w:eastAsia="ru-RU"/>
              </w:rPr>
              <w:t>Победителем открытых торгов признается участник торгов, предложивший наиболее высокую цену</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11</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Срок представления заявок на участие в торгах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Срок представления заявок на участие в открытых торгах составляет 25 рабочих дней со дня опубликования и размещения сообщения о проведении торгов.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12</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Определение участников торгов</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Не позднее двух часов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 заявка на участие в торгах не соответствует требованиям, указанным в сообщении о проведении торгов; - представленные заявителем документы не соответствуют установленным к ним требованиям или недостоверны; -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13</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Порядок проведения торгов</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продаже. 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 а также времени, оставшегося до истечения срока представления таких предложений. Торги проводятся путем повышения начальной цены продажи имущества на величину, равную "шагу аукциона". 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 Если в течение тридцати минут после представления последнего предложения о цене (не учитывая отклоненных предложений о цене) не поступило следующее предложение, торги с помощью программно-аппаратных средств сайта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Выигравшим аукцион признается участник, предложивший наиболее высокую цену за продаваемое имущество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14</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Подведение результатов торгов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Не позднее двух часов с момента завершения торгов Организатор торгов с помощью программно-аппаратных средств формирует проект протокола о результатах проведения торгов. Организатор торгов рассматривает, подписывает квалифицированной электронной подписью и направляет оператору электронной площадки протокол о результатах проведения торгов. Протокол о результатах проведения торгов размещается Организатором торгов на электронной площадке. Не позднее тридцати минут после размещения на электронной площадке протокола организатор торгов посредством программно-аппаратных средств сайта направляет протокол в форме электронного сообщения всем участникам торгов, в том числе на адрес электронной почты, указанный в заявке на участие в торгах.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Организатор торгов с помощью программно-аппаратных средств сайта формирует проект решения о признании торгов несостоявшимися не позднее тридцати минут с момента: окончания срока представления заявок на участие в торгах при отсутствии заявок на участие в торгах; 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 Организатор торгов рассматривает,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Решение о признании торгов несостоявшимися размещается Организатором торгов на электронной площадке. Не позднее тридцати минут после размещения на электронной площадке решения организатор торгов посредством программно-аппаратных средств сайта направляет решение в форме электронного сообщения всем участникам торгов, в том числе на адрес электронной почты, указанный в заявке на участие в торгах. Если к участию в торгах был допущен только один участник и его предложение о цене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15</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Порядок и срок заключения договора куплипродажи имущества </w:t>
            </w:r>
          </w:p>
        </w:tc>
        <w:tc>
          <w:tcPr>
            <w:tcW w:w="7487" w:type="dxa"/>
            <w:gridSpan w:val="4"/>
            <w:tcBorders>
              <w:left w:val="single" w:sz="4" w:space="0" w:color="000000"/>
              <w:bottom w:val="single" w:sz="4" w:space="0" w:color="000000"/>
              <w:right w:val="single" w:sz="4" w:space="0" w:color="000000"/>
            </w:tcBorders>
            <w:shd w:fill="auto" w:val="clear"/>
          </w:tcPr>
          <w:p>
            <w:pPr>
              <w:pStyle w:val="NormalWeb"/>
              <w:spacing w:before="0" w:after="0"/>
              <w:ind w:left="0" w:right="0" w:hanging="0"/>
              <w:jc w:val="both"/>
              <w:rPr>
                <w:rFonts w:ascii="Times New Roman" w:hAnsi="Times New Roman" w:cs="Times New Roman"/>
                <w:sz w:val="24"/>
                <w:szCs w:val="24"/>
              </w:rPr>
            </w:pPr>
            <w:r>
              <w:rPr>
                <w:rFonts w:cs="Times New Roman"/>
                <w:sz w:val="24"/>
                <w:szCs w:val="24"/>
              </w:rPr>
              <w:t>15.1. Продажа имущества оформляется договором купли-продажи имущества, который заключается финансовым управляющим и победителем торгов. Обязательными условиями договора купли-продажи имущества являются: - сведения об имуществе, его составе, характеристиках, описание имущества; - цена продажи имущества; - порядок и сроки оплаты имущества с указанием, что сумма внесенного победителем торгов задатка засчитывается в счет исполнения договора; - порядок и срок передачи имущества покупателю; - иные условия, предусмотренные законодательством Российской Федерации.</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15.2. Условия продажи имущества должника должны предусматривать получение денежных средств за проданное имущество не позднее чем через 30 (Тридцать) дней с даты заключения договора купли-продажи.</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15.3. В случае невнесения оплаты по договору на 31 (тридцать первый) день со дня подписания договора договор считается расторгнутым.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15.4.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С этого момента на покупателя переходит риск случайно гибели имущества.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15.5. Право собственности на приобретённое имущество появляется у покупателя после полной оплаты имущества, его приёма по акту приёма-передачи, в т.ч. в соответствии со ст. 138 Федерального закона №127-ФЗ от 26.10.2002 «О несостоятельности (банкротстве)», а также после регистрации договора и получения соответствующего свидетельства (в отношении недвижимого имущества).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15.6. Вырученные от реализации имущества денежные средства включаются в конкурсную массу.</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15.7. В течение 5 (пяти) рабочих дней с даты подписания протокола о результатах проведения торгов организатор торгов направляет победителю торгов и финансовому управляющему копии этого протокола.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15.8. В течение 5 (Пяти) дней с даты подписания протокола о результатах торгов финансовый управляющий:</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заполняет бланк размещенного договора купли-продажи имущества (уступки прав требования) соответствии с представленным победителем торгов предложением о цене;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подписывает договор со своей стороны в одном экземпляре;</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-указанному в заявке адресу электронной почты, направляет победителю предложение заключить договор с приложением сканированной копии данного договора и файл с договором в текстовом формате;</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В течение 5 (Пяти) дней с даты получения указанного предложения по электронной почте победитель:</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подписывает со своей стороны в одном экземпляре договор и сканированную копию указанного договора, полученные им по электронной почте;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xml:space="preserve">- по адресу электронной почты финансового управляющего направляет сканированную копию договора, уже подписанную обоими сторонами; </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 по почтовому адресу финансового управляющего ценным письмом с описью вложения направляет подписанный со своей стороны экземпляр договора.</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15.9. В случае отказа или уклонения победителя торгов от подписания данного договора в течение 5 (Пяти) дней с даты получения указанного предложения финансового управляющего на 6 (Шестой) день внесенный задаток победителю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w:t>
            </w:r>
          </w:p>
          <w:p>
            <w:pPr>
              <w:pStyle w:val="NormalWeb"/>
              <w:spacing w:before="0" w:after="0"/>
              <w:ind w:left="0" w:right="0" w:hanging="0"/>
              <w:jc w:val="both"/>
              <w:rPr>
                <w:rFonts w:ascii="Times New Roman" w:hAnsi="Times New Roman" w:cs="Times New Roman"/>
                <w:sz w:val="24"/>
                <w:szCs w:val="24"/>
              </w:rPr>
            </w:pPr>
            <w:r>
              <w:rPr>
                <w:rFonts w:cs="Times New Roman"/>
                <w:sz w:val="24"/>
                <w:szCs w:val="24"/>
              </w:rPr>
              <w:t>15.10. Если к участию в торгах был допущен только один участник, заявка которого на участие в торгах содержит предложение о цене имущества не ниже установленной начальной цены продажи имущества, договор купли-продажи заключается финансовым управляющим с этим участником торгов в соответствии с представленным им предложением о цене имущества в установленном настоящим разделом порядке.</w:t>
            </w:r>
          </w:p>
          <w:p>
            <w:pPr>
              <w:pStyle w:val="NormalWeb"/>
              <w:bidi w:val="0"/>
              <w:snapToGrid w:val="false"/>
              <w:spacing w:before="0" w:after="0"/>
              <w:ind w:left="0" w:right="0" w:hanging="0"/>
              <w:jc w:val="both"/>
              <w:rPr>
                <w:rFonts w:ascii="Times New Roman" w:hAnsi="Times New Roman" w:cs="Times New Roman"/>
                <w:sz w:val="24"/>
                <w:szCs w:val="24"/>
              </w:rPr>
            </w:pPr>
            <w:r>
              <w:rPr>
                <w:rFonts w:cs="Times New Roman"/>
                <w:sz w:val="24"/>
                <w:szCs w:val="24"/>
              </w:rPr>
              <w:t xml:space="preserve">15.11. В случае неоплаты имущества по договору купли-продажи, последний считается расторгнутым на 31 день со дня его заключения. </w:t>
            </w:r>
          </w:p>
          <w:p>
            <w:pPr>
              <w:pStyle w:val="Normal"/>
              <w:bidi w:val="0"/>
              <w:snapToGrid w:val="false"/>
              <w:jc w:val="left"/>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Расходы по осуществлению государственной регистрации перехода права собственности на имущество к Покупателю в полном объеме несет Покупатель.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16</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Условия возврата задатка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17</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Проведение повторных торгов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В случае признания торгов несостоявшимися и незаключения договора купли-продажи с единственным участником торгов, а также в случае незаключения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w:t>
            </w:r>
          </w:p>
        </w:tc>
      </w:tr>
      <w:tr>
        <w:trPr/>
        <w:tc>
          <w:tcPr>
            <w:tcW w:w="675"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18</w:t>
            </w:r>
          </w:p>
        </w:tc>
        <w:tc>
          <w:tcPr>
            <w:tcW w:w="1707" w:type="dxa"/>
            <w:tcBorders>
              <w:left w:val="single" w:sz="4" w:space="0" w:color="000000"/>
              <w:bottom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Продажа имущества посредством публичного предложения </w:t>
            </w:r>
          </w:p>
        </w:tc>
        <w:tc>
          <w:tcPr>
            <w:tcW w:w="7487" w:type="dxa"/>
            <w:gridSpan w:val="4"/>
            <w:tcBorders>
              <w:left w:val="single" w:sz="4" w:space="0" w:color="000000"/>
              <w:bottom w:val="single" w:sz="4" w:space="0" w:color="000000"/>
              <w:right w:val="single" w:sz="4" w:space="0" w:color="000000"/>
            </w:tcBorders>
            <w:shd w:fill="auto" w:val="clear"/>
          </w:tcPr>
          <w:p>
            <w:pPr>
              <w:pStyle w:val="Normal"/>
              <w:bidi w:val="0"/>
              <w:jc w:val="left"/>
              <w:rPr>
                <w:rFonts w:ascii="Times New Roman" w:hAnsi="Times New Roman" w:cs="Times New Roman"/>
                <w:sz w:val="24"/>
                <w:szCs w:val="24"/>
              </w:rPr>
            </w:pPr>
            <w:r>
              <w:rPr>
                <w:rFonts w:cs="Times New Roman" w:ascii="Times New Roman" w:hAnsi="Times New Roman"/>
                <w:sz w:val="24"/>
                <w:szCs w:val="24"/>
              </w:rPr>
              <w:t xml:space="preserve">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на торгах имущество должника подлежит продаже посредством публичного предложения. Торги в форме публичного предложения проводятся в соответствии с условиями проведения первоначальных торгов, за исключением особенностей, предусмотренных настоящим пунктом. Начальная цена продажи имущества устанавливается в размере начальной цены продажи имущества, установленной на повторных торгах. Величина снижения начальной цены продажи имущества должника - 15 %. Срок, по истечении которого последовательно снижается начальная цена, – каждые 7 календарных дней. Размер задатка – 10 % от начальной цены, установленной для соответствующего периода проведения торгов. Минимальная цена, за которую может быть продано имущество (цена отсечения), устанавливается в размере 50 % от начальной цены в повторных торгах. В сообщении о продаже наряду со сведениями, указанными в пункте 9 настоящего Положения, указываются величина снижения начальной цены продажи имущества и срок, по истечении которого последовательно снижается указанная начальная цена.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 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Определение участников торгов, проводимых в форме публичного предложения осуществляется в следующем порядке: 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одного из следующих случаев: - 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 - окончания периода проведения торгов. 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 - завершения торгов вследствие оставления конкурсным кредитором предмета - залога за собой; - окончания периода проведения торгов. 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 - получения от организатора торгов (по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 протокола об определении участников торгов, согласно которому к участию в торгах допущен хотя бы один участник; - 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 протокола об определении участников торгов, согласно которому к участию в торгах не допущен ни один заявитель на участие в торгах; - 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 при отсутствии заявок на участие в торгах. Организатор торгов рассматривает,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 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 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 </w:t>
            </w:r>
          </w:p>
        </w:tc>
      </w:tr>
    </w:tbl>
    <w:p>
      <w:pPr>
        <w:pStyle w:val="Normal"/>
        <w:bidi w:val="0"/>
        <w:jc w:val="left"/>
        <w:rPr>
          <w:rFonts w:ascii="Times New Roman" w:hAnsi="Times New Roman" w:cs="Times New Roman"/>
        </w:rPr>
      </w:pPr>
      <w:r>
        <w:rPr>
          <w:rFonts w:cs="Times New Roman" w:ascii="Times New Roman" w:hAnsi="Times New Roman"/>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bidi w:val="0"/>
        <w:jc w:val="center"/>
        <w:rPr>
          <w:rFonts w:ascii="Times New Roman" w:hAnsi="Times New Roman" w:cs="Times New Roman"/>
          <w:b/>
          <w:b/>
          <w:bCs/>
          <w:sz w:val="24"/>
          <w:szCs w:val="24"/>
        </w:rPr>
      </w:pPr>
      <w:r>
        <w:rPr>
          <w:rFonts w:cs="Times New Roman" w:ascii="Times New Roman" w:hAnsi="Times New Roman"/>
          <w:b/>
          <w:bCs/>
          <w:sz w:val="24"/>
          <w:szCs w:val="24"/>
        </w:rPr>
        <w:t>Приложение № 1. Сведения о должнике, имущества и торгах</w:t>
      </w:r>
    </w:p>
    <w:p>
      <w:pPr>
        <w:pStyle w:val="Normal"/>
        <w:jc w:val="both"/>
        <w:rPr/>
      </w:pPr>
      <w:r>
        <w:rPr/>
      </w:r>
    </w:p>
    <w:p>
      <w:pPr>
        <w:pStyle w:val="Normal"/>
        <w:jc w:val="both"/>
        <w:rPr/>
      </w:pPr>
      <w:r>
        <w:rPr>
          <w:rFonts w:cs="Times New Roman" w:ascii="Times New Roman" w:hAnsi="Times New Roman"/>
          <w:b/>
          <w:bCs/>
        </w:rPr>
        <w:t>1.1. Должник:</w:t>
      </w:r>
      <w:r>
        <w:rPr>
          <w:rFonts w:cs="Times New Roman" w:ascii="Times New Roman" w:hAnsi="Times New Roman"/>
        </w:rPr>
        <w:t xml:space="preserve">  </w:t>
      </w:r>
      <w:r>
        <w:rPr>
          <w:rFonts w:cs="Times New Roman" w:ascii="Times New Roman" w:hAnsi="Times New Roman"/>
          <w:color w:val="000000"/>
          <w:sz w:val="24"/>
          <w:szCs w:val="24"/>
          <w:shd w:fill="FFFFFF" w:val="clear"/>
          <w:lang w:val="en-US"/>
        </w:rPr>
        <w:t>Васильев Иван Юрьевич  (10.10.1997 года рождения, место рождения: гор. Рыльск, Курской обл., СНИЛС 145-927-071 82, ИНН 462005415890, место регистрации: 307370 Курская обл., Рыльский р-н, гор. Рыльск,ул. Офицерская, д. 47.</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bCs/>
        </w:rPr>
        <w:t>1.2. Продаже на торгах подлежит следующее имущество:</w:t>
      </w:r>
    </w:p>
    <w:p>
      <w:pPr>
        <w:pStyle w:val="Normal"/>
        <w:jc w:val="both"/>
        <w:rPr>
          <w:rFonts w:ascii="Times New Roman" w:hAnsi="Times New Roman" w:cs="Times New Roman"/>
        </w:rPr>
      </w:pPr>
      <w:r>
        <w:rPr>
          <w:rFonts w:cs="Times New Roman" w:ascii="Times New Roman" w:hAnsi="Times New Roman"/>
        </w:rPr>
      </w:r>
    </w:p>
    <w:tbl>
      <w:tblPr>
        <w:tblW w:w="9840" w:type="dxa"/>
        <w:jc w:val="left"/>
        <w:tblInd w:w="0" w:type="dxa"/>
        <w:tblCellMar>
          <w:top w:w="57" w:type="dxa"/>
          <w:left w:w="57" w:type="dxa"/>
          <w:bottom w:w="57" w:type="dxa"/>
          <w:right w:w="57" w:type="dxa"/>
        </w:tblCellMar>
      </w:tblPr>
      <w:tblGrid>
        <w:gridCol w:w="579"/>
        <w:gridCol w:w="4736"/>
        <w:gridCol w:w="1391"/>
        <w:gridCol w:w="3133"/>
      </w:tblGrid>
      <w:tr>
        <w:trPr>
          <w:trHeight w:val="902" w:hRule="atLeast"/>
        </w:trPr>
        <w:tc>
          <w:tcPr>
            <w:tcW w:w="579" w:type="dxa"/>
            <w:tcBorders>
              <w:top w:val="single" w:sz="2" w:space="0" w:color="000000"/>
              <w:left w:val="single" w:sz="2" w:space="0" w:color="000000"/>
              <w:bottom w:val="single" w:sz="2" w:space="0" w:color="000000"/>
            </w:tcBorders>
            <w:shd w:fill="auto" w:val="clear"/>
            <w:vAlign w:val="center"/>
          </w:tcPr>
          <w:p>
            <w:pPr>
              <w:pStyle w:val="Normal"/>
              <w:jc w:val="both"/>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лота</w:t>
            </w:r>
          </w:p>
        </w:tc>
        <w:tc>
          <w:tcPr>
            <w:tcW w:w="4736" w:type="dxa"/>
            <w:tcBorders>
              <w:top w:val="single" w:sz="2" w:space="0" w:color="000000"/>
              <w:left w:val="single" w:sz="2" w:space="0" w:color="000000"/>
              <w:bottom w:val="single" w:sz="2" w:space="0" w:color="000000"/>
            </w:tcBorders>
            <w:shd w:fill="auto" w:val="clear"/>
            <w:vAlign w:val="center"/>
          </w:tcPr>
          <w:p>
            <w:pPr>
              <w:pStyle w:val="Normal"/>
              <w:jc w:val="both"/>
              <w:rPr>
                <w:rFonts w:ascii="Times New Roman" w:hAnsi="Times New Roman" w:cs="Times New Roman"/>
              </w:rPr>
            </w:pPr>
            <w:r>
              <w:rPr>
                <w:rFonts w:cs="Times New Roman" w:ascii="Times New Roman" w:hAnsi="Times New Roman"/>
              </w:rPr>
              <w:t>Описание, характеристика имущества</w:t>
            </w:r>
          </w:p>
        </w:tc>
        <w:tc>
          <w:tcPr>
            <w:tcW w:w="1391" w:type="dxa"/>
            <w:tcBorders>
              <w:top w:val="single" w:sz="2" w:space="0" w:color="000000"/>
              <w:left w:val="single" w:sz="2" w:space="0" w:color="000000"/>
              <w:bottom w:val="single" w:sz="2" w:space="0" w:color="000000"/>
            </w:tcBorders>
            <w:shd w:fill="auto" w:val="clear"/>
            <w:vAlign w:val="center"/>
          </w:tcPr>
          <w:p>
            <w:pPr>
              <w:pStyle w:val="Normal"/>
              <w:jc w:val="both"/>
              <w:rPr>
                <w:rFonts w:ascii="Times New Roman" w:hAnsi="Times New Roman" w:cs="Times New Roman"/>
              </w:rPr>
            </w:pPr>
            <w:r>
              <w:rPr>
                <w:rFonts w:cs="Times New Roman" w:ascii="Times New Roman" w:hAnsi="Times New Roman"/>
              </w:rPr>
              <w:t>Количество</w:t>
            </w:r>
          </w:p>
        </w:tc>
        <w:tc>
          <w:tcPr>
            <w:tcW w:w="3133" w:type="dxa"/>
            <w:tcBorders>
              <w:top w:val="single" w:sz="2" w:space="0" w:color="000000"/>
              <w:left w:val="single" w:sz="2" w:space="0" w:color="000000"/>
              <w:bottom w:val="single" w:sz="2" w:space="0" w:color="000000"/>
              <w:right w:val="single" w:sz="2" w:space="0" w:color="000000"/>
            </w:tcBorders>
            <w:shd w:fill="auto" w:val="clear"/>
            <w:vAlign w:val="center"/>
          </w:tcPr>
          <w:p>
            <w:pPr>
              <w:pStyle w:val="Normal"/>
              <w:jc w:val="both"/>
              <w:rPr>
                <w:rFonts w:ascii="Times New Roman" w:hAnsi="Times New Roman" w:cs="Times New Roman"/>
              </w:rPr>
            </w:pPr>
            <w:r>
              <w:rPr>
                <w:rFonts w:cs="Times New Roman" w:ascii="Times New Roman" w:hAnsi="Times New Roman"/>
              </w:rPr>
              <w:t>Начальная цена продажи, руб. (рыночная стоимость, кадастровая стоимость)</w:t>
            </w:r>
          </w:p>
        </w:tc>
      </w:tr>
      <w:tr>
        <w:trPr>
          <w:trHeight w:val="1031" w:hRule="atLeast"/>
        </w:trPr>
        <w:tc>
          <w:tcPr>
            <w:tcW w:w="579" w:type="dxa"/>
            <w:tcBorders>
              <w:top w:val="single" w:sz="2" w:space="0" w:color="000000"/>
              <w:left w:val="single" w:sz="2" w:space="0" w:color="000000"/>
              <w:bottom w:val="single" w:sz="2" w:space="0" w:color="000000"/>
            </w:tcBorders>
            <w:shd w:fill="auto" w:val="clear"/>
          </w:tcPr>
          <w:p>
            <w:pPr>
              <w:pStyle w:val="Normal"/>
              <w:jc w:val="center"/>
              <w:rPr>
                <w:rFonts w:ascii="Times New Roman" w:hAnsi="Times New Roman" w:eastAsia="NSimSun" w:cs="Times New Roman"/>
                <w:color w:val="auto"/>
                <w:sz w:val="24"/>
                <w:szCs w:val="24"/>
                <w:lang w:val="ru-RU" w:eastAsia="zh-CN" w:bidi="hi-IN"/>
              </w:rPr>
            </w:pPr>
            <w:r>
              <w:rPr>
                <w:rFonts w:eastAsia="NSimSun" w:cs="Times New Roman" w:ascii="Times New Roman" w:hAnsi="Times New Roman"/>
                <w:color w:val="auto"/>
                <w:sz w:val="24"/>
                <w:szCs w:val="24"/>
                <w:lang w:val="ru-RU" w:eastAsia="zh-CN" w:bidi="hi-IN"/>
              </w:rPr>
              <w:t>1</w:t>
            </w:r>
          </w:p>
        </w:tc>
        <w:tc>
          <w:tcPr>
            <w:tcW w:w="4736" w:type="dxa"/>
            <w:tcBorders>
              <w:top w:val="single" w:sz="2" w:space="0" w:color="000000"/>
              <w:left w:val="single" w:sz="2" w:space="0" w:color="000000"/>
              <w:bottom w:val="single" w:sz="2" w:space="0" w:color="000000"/>
            </w:tcBorders>
            <w:shd w:fill="auto" w:val="clear"/>
          </w:tcPr>
          <w:p>
            <w:pPr>
              <w:pStyle w:val="Normal"/>
              <w:bidi w:val="0"/>
              <w:spacing w:lineRule="auto" w:line="240" w:before="0" w:after="0"/>
              <w:jc w:val="left"/>
              <w:rPr/>
            </w:pPr>
            <w:r>
              <w:rPr>
                <w:rFonts w:eastAsia="Times New Roman" w:cs="Times New Roman" w:ascii="Times New Roman" w:hAnsi="Times New Roman"/>
                <w:sz w:val="24"/>
                <w:szCs w:val="24"/>
                <w:lang w:val="en-US" w:eastAsia="ru-RU"/>
              </w:rPr>
              <w:t xml:space="preserve">Автомобиль легковой, марка, </w:t>
            </w:r>
            <w:r>
              <w:rPr>
                <w:rFonts w:eastAsia="Times New Roman" w:cs="Times New Roman" w:ascii="Times New Roman" w:hAnsi="Times New Roman"/>
                <w:sz w:val="24"/>
                <w:szCs w:val="24"/>
                <w:lang w:val="ru-RU" w:eastAsia="ru-RU"/>
              </w:rPr>
              <w:t>модель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val="ru-RU" w:eastAsia="ru-RU"/>
              </w:rPr>
              <w:t>ФОРД МОНДЕО</w:t>
            </w:r>
            <w:r>
              <w:rPr>
                <w:rFonts w:eastAsia="Times New Roman" w:cs="Times New Roman" w:ascii="Times New Roman" w:hAnsi="Times New Roman"/>
                <w:sz w:val="24"/>
                <w:szCs w:val="24"/>
                <w:lang w:val="en-US" w:eastAsia="ru-RU"/>
              </w:rPr>
              <w:t xml:space="preserve">,  VIN: WFODXXGBBD8D01916, регистрационный знак: </w:t>
            </w:r>
            <w:r>
              <w:rPr>
                <w:rFonts w:eastAsia="Times New Roman" w:cs="Times New Roman" w:ascii="Times New Roman" w:hAnsi="Times New Roman"/>
                <w:sz w:val="24"/>
                <w:szCs w:val="24"/>
                <w:lang w:val="ru-RU" w:eastAsia="ru-RU"/>
              </w:rPr>
              <w:t>О099ОЕ46, год</w:t>
            </w:r>
            <w:r>
              <w:rPr>
                <w:rFonts w:eastAsia="Times New Roman" w:cs="Times New Roman" w:ascii="Times New Roman" w:hAnsi="Times New Roman"/>
                <w:sz w:val="24"/>
                <w:szCs w:val="24"/>
                <w:lang w:val="en-US" w:eastAsia="ru-RU"/>
              </w:rPr>
              <w:t xml:space="preserve"> изготовления: </w:t>
            </w:r>
            <w:r>
              <w:rPr>
                <w:rFonts w:eastAsia="Times New Roman" w:cs="Times New Roman" w:ascii="Times New Roman" w:hAnsi="Times New Roman"/>
                <w:sz w:val="24"/>
                <w:szCs w:val="24"/>
                <w:lang w:val="ru-RU" w:eastAsia="ru-RU"/>
              </w:rPr>
              <w:t>2008</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val="ru-RU" w:eastAsia="ru-RU"/>
              </w:rPr>
              <w:t xml:space="preserve">цвет темно-серый, совместная собственность </w:t>
            </w:r>
          </w:p>
          <w:p>
            <w:pPr>
              <w:pStyle w:val="Normal"/>
              <w:bidi w:val="0"/>
              <w:jc w:val="left"/>
              <w:rPr>
                <w:rFonts w:ascii="Times New Roman" w:hAnsi="Times New Roman" w:cs="Times New Roman"/>
                <w:sz w:val="24"/>
                <w:szCs w:val="24"/>
              </w:rPr>
            </w:pPr>
            <w:r>
              <w:rPr>
                <w:rFonts w:cs="Times New Roman" w:ascii="Times New Roman" w:hAnsi="Times New Roman"/>
                <w:sz w:val="24"/>
                <w:szCs w:val="24"/>
              </w:rPr>
              <w:t>Характеристика: требуется ремонт/покраска кузова, имеются значительные повреждения в виде коррозии. Ходовую часть необходимо ремонтировать, тормоза требуют замены задних тормозных дисков</w:t>
            </w:r>
          </w:p>
          <w:p>
            <w:pPr>
              <w:pStyle w:val="Normal"/>
              <w:jc w:val="both"/>
              <w:rPr>
                <w:rFonts w:ascii="Times New Roman" w:hAnsi="Times New Roman" w:cs="Times New Roman"/>
                <w:sz w:val="24"/>
                <w:szCs w:val="24"/>
              </w:rPr>
            </w:pPr>
            <w:r>
              <w:rPr>
                <w:rFonts w:cs="Times New Roman" w:ascii="Times New Roman" w:hAnsi="Times New Roman"/>
                <w:sz w:val="24"/>
                <w:szCs w:val="24"/>
              </w:rPr>
            </w:r>
          </w:p>
        </w:tc>
        <w:tc>
          <w:tcPr>
            <w:tcW w:w="1391" w:type="dxa"/>
            <w:tcBorders>
              <w:top w:val="single" w:sz="2" w:space="0" w:color="000000"/>
              <w:left w:val="single" w:sz="2" w:space="0" w:color="000000"/>
              <w:bottom w:val="single" w:sz="2" w:space="0" w:color="000000"/>
            </w:tcBorders>
            <w:shd w:fill="auto" w:val="clear"/>
          </w:tcPr>
          <w:p>
            <w:pPr>
              <w:pStyle w:val="Normal"/>
              <w:jc w:val="center"/>
              <w:rPr>
                <w:rFonts w:ascii="Times New Roman" w:hAnsi="Times New Roman" w:cs="Times New Roman"/>
              </w:rPr>
            </w:pPr>
            <w:r>
              <w:rPr>
                <w:rFonts w:cs="Times New Roman" w:ascii="Times New Roman" w:hAnsi="Times New Roman"/>
              </w:rPr>
              <w:t>1</w:t>
            </w:r>
          </w:p>
        </w:tc>
        <w:tc>
          <w:tcPr>
            <w:tcW w:w="3133" w:type="dxa"/>
            <w:tcBorders>
              <w:top w:val="single" w:sz="2" w:space="0" w:color="000000"/>
              <w:left w:val="single" w:sz="2" w:space="0" w:color="000000"/>
              <w:bottom w:val="single" w:sz="2" w:space="0" w:color="000000"/>
              <w:right w:val="single" w:sz="2" w:space="0" w:color="000000"/>
            </w:tcBorders>
            <w:shd w:fill="auto" w:val="clear"/>
          </w:tcPr>
          <w:p>
            <w:pPr>
              <w:pStyle w:val="Normal"/>
              <w:jc w:val="center"/>
              <w:rPr>
                <w:rFonts w:ascii="Times New Roman" w:hAnsi="Times New Roman" w:cs="Times New Roman"/>
              </w:rPr>
            </w:pPr>
            <w:r>
              <w:rPr>
                <w:rFonts w:cs="Times New Roman" w:ascii="Times New Roman" w:hAnsi="Times New Roman"/>
              </w:rPr>
              <w:t xml:space="preserve">520 000 рублей </w:t>
            </w:r>
            <w:bookmarkStart w:id="5" w:name="_Hlk148449983"/>
            <w:bookmarkEnd w:id="5"/>
          </w:p>
        </w:tc>
      </w:tr>
    </w:tbl>
    <w:p>
      <w:pPr>
        <w:pStyle w:val="Normal"/>
        <w:jc w:val="both"/>
        <w:rPr>
          <w:rFonts w:eastAsia="Liberation Serif;Times New Roman" w:cs="Liberation Serif;Times New Roman"/>
        </w:rPr>
      </w:pPr>
      <w:r>
        <w:rPr>
          <w:rFonts w:eastAsia="Liberation Serif;Times New Roman" w:cs="Liberation Serif;Times New Roman"/>
        </w:rPr>
        <w:t xml:space="preserve"> </w:t>
      </w:r>
    </w:p>
    <w:p>
      <w:pPr>
        <w:pStyle w:val="NormalWeb"/>
        <w:spacing w:before="0" w:after="0"/>
        <w:ind w:left="0" w:right="0" w:firstLine="708"/>
        <w:jc w:val="both"/>
        <w:rPr/>
      </w:pPr>
      <w:r>
        <w:rPr>
          <w:rFonts w:cs="Times New Roman"/>
          <w:sz w:val="24"/>
          <w:szCs w:val="24"/>
        </w:rPr>
        <w:t xml:space="preserve">Начальная цена лота № 1 составляет </w:t>
      </w:r>
      <w:r>
        <w:rPr>
          <w:rFonts w:cs="Times New Roman"/>
          <w:b/>
          <w:bCs/>
          <w:sz w:val="24"/>
          <w:szCs w:val="24"/>
        </w:rPr>
        <w:t xml:space="preserve">520 </w:t>
      </w:r>
      <w:r>
        <w:rPr>
          <w:rFonts w:eastAsia="NSimSun" w:cs="Times New Roman"/>
          <w:b/>
          <w:bCs/>
          <w:color w:val="auto"/>
          <w:sz w:val="24"/>
          <w:szCs w:val="24"/>
          <w:lang w:val="ru-RU" w:eastAsia="zh-CN" w:bidi="hi-IN"/>
        </w:rPr>
        <w:t>000</w:t>
      </w:r>
      <w:r>
        <w:rPr>
          <w:rFonts w:eastAsia="NSimSun" w:cs="Times New Roman"/>
          <w:color w:val="auto"/>
          <w:sz w:val="24"/>
          <w:szCs w:val="24"/>
          <w:lang w:val="ru-RU" w:eastAsia="zh-CN" w:bidi="hi-IN"/>
        </w:rPr>
        <w:t xml:space="preserve"> (Пятьсот двадцать) тысяч</w:t>
      </w:r>
      <w:r>
        <w:rPr>
          <w:rFonts w:cs="Times New Roman"/>
          <w:sz w:val="26"/>
          <w:szCs w:val="26"/>
        </w:rPr>
        <w:t xml:space="preserve"> рублей. </w:t>
      </w:r>
    </w:p>
    <w:p>
      <w:pPr>
        <w:pStyle w:val="NormalWeb"/>
        <w:spacing w:before="0" w:after="0"/>
        <w:ind w:left="0" w:right="0" w:firstLine="708"/>
        <w:jc w:val="both"/>
        <w:rPr>
          <w:rFonts w:ascii="Times New Roman" w:hAnsi="Times New Roman" w:cs="Times New Roman"/>
          <w:sz w:val="24"/>
          <w:szCs w:val="24"/>
        </w:rPr>
      </w:pPr>
      <w:r>
        <w:rPr>
          <w:rFonts w:cs="Times New Roman"/>
          <w:sz w:val="24"/>
          <w:szCs w:val="24"/>
        </w:rPr>
        <w:t>Задаток 10 % (Десять процентов);</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Срок, по истечении которого последовательно снижается указанная начальная цена, устанавливается в 7 календарных дней. Величина снижения начальной цены продажи имущества должника устанавливается в размере 15 % от цены продажи на повторных торгах еженедельно. Минимальная цена, за которую может быть продано имущество (цена отсечения), устанавливается в размере 50 % от начальной цены в повторных торгах.</w:t>
      </w:r>
    </w:p>
    <w:p>
      <w:pPr>
        <w:pStyle w:val="Normal"/>
        <w:jc w:val="both"/>
        <w:rPr/>
      </w:pPr>
      <w:r>
        <w:rPr>
          <w:rFonts w:cs="Times New Roman" w:ascii="Times New Roman" w:hAnsi="Times New Roman"/>
          <w:b w:val="false"/>
          <w:i w:val="false"/>
          <w:caps w:val="false"/>
          <w:smallCaps w:val="false"/>
          <w:color w:val="000000"/>
          <w:spacing w:val="0"/>
          <w:sz w:val="24"/>
          <w:szCs w:val="24"/>
        </w:rPr>
        <w:t>Реализуемое имущество принадлежит Должнику на праве совместной собственности с супругой - Васильевой Дарьей Романовной, за которой оно зарегистрировано и которая имеет преимущественное право на приобретение имущества после завершения торгов по цене предложения.</w:t>
      </w:r>
      <w:r>
        <w:rPr>
          <w:rFonts w:cs="Times New Roman" w:ascii="Times New Roman" w:hAnsi="Times New Roman"/>
          <w:color w:val="000000"/>
          <w:sz w:val="24"/>
          <w:szCs w:val="24"/>
        </w:rPr>
        <w:t xml:space="preserve"> </w:t>
      </w:r>
    </w:p>
    <w:p>
      <w:pPr>
        <w:pStyle w:val="Normal"/>
        <w:jc w:val="center"/>
        <w:rPr>
          <w:rFonts w:ascii="Times New Roman" w:hAnsi="Times New Roman" w:cs="Times New Roman"/>
          <w:b/>
          <w:b/>
          <w:bCs/>
          <w:sz w:val="26"/>
          <w:szCs w:val="26"/>
        </w:rPr>
      </w:pPr>
      <w:r>
        <w:rPr>
          <w:rFonts w:cs="Times New Roman" w:ascii="Times New Roman" w:hAnsi="Times New Roman"/>
          <w:b/>
          <w:bCs/>
          <w:sz w:val="26"/>
          <w:szCs w:val="26"/>
        </w:rPr>
        <w:t>Заключительные положения</w:t>
      </w:r>
    </w:p>
    <w:p>
      <w:pPr>
        <w:pStyle w:val="NormalWeb"/>
        <w:spacing w:before="0" w:after="0"/>
        <w:ind w:left="0" w:right="0" w:firstLine="708"/>
        <w:jc w:val="both"/>
        <w:rPr>
          <w:rFonts w:ascii="Times New Roman" w:hAnsi="Times New Roman" w:cs="Times New Roman"/>
          <w:sz w:val="24"/>
          <w:szCs w:val="24"/>
        </w:rPr>
      </w:pPr>
      <w:r>
        <w:rPr>
          <w:rFonts w:cs="Times New Roman"/>
          <w:sz w:val="24"/>
          <w:szCs w:val="24"/>
        </w:rPr>
      </w:r>
    </w:p>
    <w:p>
      <w:pPr>
        <w:pStyle w:val="Normal"/>
        <w:bidi w:val="0"/>
        <w:spacing w:lineRule="auto" w:line="240"/>
        <w:ind w:left="0" w:right="0" w:hanging="0"/>
        <w:jc w:val="both"/>
        <w:rPr>
          <w:rFonts w:ascii="Times New Roman" w:hAnsi="Times New Roman" w:cs="Times New Roman"/>
          <w:sz w:val="24"/>
          <w:szCs w:val="24"/>
        </w:rPr>
      </w:pPr>
      <w:r>
        <w:rPr>
          <w:rFonts w:cs="Times New Roman" w:ascii="Times New Roman" w:hAnsi="Times New Roman"/>
          <w:sz w:val="24"/>
          <w:szCs w:val="24"/>
        </w:rPr>
        <w:t xml:space="preserve">Все иные условия проведения торгов про продаже имущества, не указанные в настоящем Положении, регулируются Федеральным законом «О несостоятельности (банкротстве)», Приказом Минэкономразвития России от 23.07.2015 N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N 178 и признании утратившими силу некоторых приказов Минэкономразвития России». </w:t>
      </w:r>
    </w:p>
    <w:p>
      <w:pPr>
        <w:pStyle w:val="NormalWeb"/>
        <w:spacing w:lineRule="auto" w:line="240" w:before="0" w:after="0"/>
        <w:ind w:left="0" w:right="0" w:hanging="0"/>
        <w:jc w:val="both"/>
        <w:rPr>
          <w:rFonts w:ascii="Times New Roman" w:hAnsi="Times New Roman" w:cs="Times New Roman"/>
          <w:sz w:val="24"/>
          <w:szCs w:val="24"/>
        </w:rPr>
      </w:pPr>
      <w:r>
        <w:rPr>
          <w:rFonts w:cs="Times New Roman"/>
          <w:sz w:val="24"/>
          <w:szCs w:val="24"/>
        </w:rPr>
        <w:t>По всем вопросам, неурегулированным настоящим положением, применяется действующее законодательство Российской Федерации.</w:t>
      </w:r>
    </w:p>
    <w:p>
      <w:pPr>
        <w:pStyle w:val="NormalWeb"/>
        <w:spacing w:lineRule="auto" w:line="240" w:before="0" w:after="0"/>
        <w:ind w:left="0" w:right="0" w:hanging="0"/>
        <w:jc w:val="both"/>
        <w:rPr>
          <w:rFonts w:ascii="Times New Roman" w:hAnsi="Times New Roman" w:cs="Times New Roman"/>
          <w:sz w:val="24"/>
          <w:szCs w:val="24"/>
        </w:rPr>
      </w:pPr>
      <w:r>
        <w:rPr>
          <w:rFonts w:cs="Times New Roman"/>
          <w:sz w:val="24"/>
          <w:szCs w:val="24"/>
        </w:rPr>
        <w:t>Все споры по поводу настоящего положения подлежат разрешению в порядке, установленном законодательством РФ о банкротстве.».</w:t>
      </w:r>
    </w:p>
    <w:p>
      <w:pPr>
        <w:pStyle w:val="Normal"/>
        <w:bidi w:val="0"/>
        <w:jc w:val="both"/>
        <w:rPr>
          <w:rFonts w:ascii="Times New Roman" w:hAnsi="Times New Roman" w:cs="Times New Roman"/>
          <w:sz w:val="24"/>
          <w:szCs w:val="24"/>
        </w:rPr>
      </w:pPr>
      <w:r>
        <w:rPr>
          <w:rFonts w:cs="Times New Roman" w:ascii="Times New Roman" w:hAnsi="Times New Roman"/>
          <w:sz w:val="24"/>
          <w:szCs w:val="24"/>
        </w:rPr>
      </w:r>
    </w:p>
    <w:p>
      <w:pPr>
        <w:pStyle w:val="Normal"/>
        <w:bidi w:val="0"/>
        <w:jc w:val="both"/>
        <w:rPr>
          <w:rFonts w:ascii="Times New Roman" w:hAnsi="Times New Roman" w:cs="Times New Roman"/>
          <w:sz w:val="24"/>
          <w:szCs w:val="24"/>
        </w:rPr>
      </w:pPr>
      <w:r>
        <w:rPr>
          <w:rFonts w:cs="Times New Roman" w:ascii="Times New Roman" w:hAnsi="Times New Roman"/>
          <w:sz w:val="24"/>
          <w:szCs w:val="24"/>
        </w:rPr>
      </w:r>
    </w:p>
    <w:tbl>
      <w:tblPr>
        <w:tblW w:w="9615" w:type="dxa"/>
        <w:jc w:val="left"/>
        <w:tblInd w:w="36" w:type="dxa"/>
        <w:tblCellMar>
          <w:top w:w="0" w:type="dxa"/>
          <w:left w:w="0" w:type="dxa"/>
          <w:bottom w:w="0" w:type="dxa"/>
          <w:right w:w="0" w:type="dxa"/>
        </w:tblCellMar>
      </w:tblPr>
      <w:tblGrid>
        <w:gridCol w:w="4752"/>
        <w:gridCol w:w="60"/>
        <w:gridCol w:w="4803"/>
      </w:tblGrid>
      <w:tr>
        <w:trPr>
          <w:trHeight w:val="1080" w:hRule="atLeast"/>
        </w:trPr>
        <w:tc>
          <w:tcPr>
            <w:tcW w:w="4752" w:type="dxa"/>
            <w:tcBorders/>
            <w:shd w:fill="auto" w:val="clear"/>
          </w:tcPr>
          <w:p>
            <w:pPr>
              <w:pStyle w:val="Normal"/>
              <w:spacing w:lineRule="auto" w:line="240" w:before="0" w:after="0"/>
              <w:rPr/>
            </w:pPr>
            <w:r>
              <w:rPr>
                <w:rFonts w:eastAsia="Times New Roman" w:cs="Times New Roman" w:ascii="Times New Roman" w:hAnsi="Times New Roman"/>
                <w:sz w:val="24"/>
                <w:szCs w:val="24"/>
                <w:lang w:eastAsia="ru-RU"/>
              </w:rPr>
              <w:t> </w:t>
            </w:r>
            <w:r>
              <w:rPr>
                <w:rFonts w:eastAsia="Times New Roman" w:cs="Times New Roman" w:ascii="Times New Roman" w:hAnsi="Times New Roman"/>
                <w:b/>
                <w:sz w:val="24"/>
                <w:szCs w:val="24"/>
                <w:lang w:eastAsia="ru-RU"/>
              </w:rPr>
              <w:t>Финансовый управляющий</w:t>
            </w:r>
            <w:r>
              <w:rPr>
                <w:rFonts w:eastAsia="Times New Roman" w:cs="Times New Roman" w:ascii="Times New Roman" w:hAnsi="Times New Roman"/>
                <w:b/>
                <w:bCs/>
                <w:sz w:val="24"/>
                <w:szCs w:val="24"/>
                <w:lang w:eastAsia="ru-RU"/>
              </w:rPr>
              <w:br/>
            </w:r>
            <w:r>
              <w:rPr>
                <w:rFonts w:eastAsia="NSimSun" w:cs="Times New Roman" w:ascii="Times New Roman" w:hAnsi="Times New Roman"/>
                <w:b/>
                <w:bCs/>
                <w:color w:val="auto"/>
                <w:sz w:val="24"/>
                <w:szCs w:val="24"/>
                <w:lang w:val="ru-RU" w:eastAsia="zh-CN" w:bidi="hi-IN"/>
              </w:rPr>
              <w:t xml:space="preserve">Васильева </w:t>
            </w:r>
            <w:r>
              <w:rPr>
                <w:rFonts w:eastAsia="NSimSun" w:cs="Times New Roman" w:ascii="Times New Roman" w:hAnsi="Times New Roman"/>
                <w:b/>
                <w:bCs/>
                <w:color w:val="000000"/>
                <w:sz w:val="24"/>
                <w:szCs w:val="24"/>
                <w:shd w:fill="FFFFFF" w:val="clear"/>
                <w:lang w:val="en-US" w:eastAsia="zh-CN" w:bidi="hi-IN"/>
              </w:rPr>
              <w:t>Иван</w:t>
            </w:r>
            <w:r>
              <w:rPr>
                <w:rFonts w:eastAsia="NSimSun" w:cs="Times New Roman" w:ascii="Times New Roman" w:hAnsi="Times New Roman"/>
                <w:b/>
                <w:bCs/>
                <w:color w:val="000000"/>
                <w:sz w:val="24"/>
                <w:szCs w:val="24"/>
                <w:shd w:fill="FFFFFF" w:val="clear"/>
                <w:lang w:val="ru-RU" w:eastAsia="zh-CN" w:bidi="hi-IN"/>
              </w:rPr>
              <w:t>а</w:t>
            </w:r>
            <w:r>
              <w:rPr>
                <w:rFonts w:eastAsia="NSimSun" w:cs="Times New Roman" w:ascii="Times New Roman" w:hAnsi="Times New Roman"/>
                <w:b/>
                <w:bCs/>
                <w:color w:val="000000"/>
                <w:sz w:val="24"/>
                <w:szCs w:val="24"/>
                <w:shd w:fill="FFFFFF" w:val="clear"/>
                <w:lang w:val="en-US" w:eastAsia="zh-CN" w:bidi="hi-IN"/>
              </w:rPr>
              <w:t xml:space="preserve"> Юрьевич</w:t>
            </w:r>
            <w:r>
              <w:rPr>
                <w:rFonts w:eastAsia="NSimSun" w:cs="Times New Roman" w:ascii="Times New Roman" w:hAnsi="Times New Roman"/>
                <w:b/>
                <w:bCs/>
                <w:color w:val="000000"/>
                <w:sz w:val="24"/>
                <w:szCs w:val="24"/>
                <w:shd w:fill="FFFFFF" w:val="clear"/>
                <w:lang w:val="ru-RU" w:eastAsia="zh-CN" w:bidi="hi-IN"/>
              </w:rPr>
              <w:t>а</w:t>
            </w:r>
          </w:p>
        </w:tc>
        <w:tc>
          <w:tcPr>
            <w:tcW w:w="60" w:type="dxa"/>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4803" w:type="dxa"/>
            <w:tcBorders/>
            <w:shd w:fill="auto" w:val="clear"/>
          </w:tcPr>
          <w:p>
            <w:pPr>
              <w:pStyle w:val="Normal"/>
              <w:spacing w:lineRule="auto" w:line="240" w:before="240" w:after="240"/>
              <w:jc w:val="right"/>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К.В. Богданова</w:t>
            </w:r>
          </w:p>
        </w:tc>
      </w:tr>
    </w:tbl>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ru-RU" w:eastAsia="zh-CN" w:bidi="hi-IN"/>
      </w:rPr>
    </w:rPrDefault>
    <w:pPrDefault>
      <w:pPr/>
    </w:pPrDefault>
  </w:docDefaults>
  <w:style w:type="paragraph" w:styleId="Normal">
    <w:name w:val="Normal"/>
    <w:qFormat/>
    <w:pPr>
      <w:widowControl w:val="false"/>
      <w:suppressAutoHyphens w:val="true"/>
      <w:bidi w:val="0"/>
      <w:jc w:val="left"/>
    </w:pPr>
    <w:rPr>
      <w:rFonts w:ascii="Liberation Serif;Times New Roman" w:hAnsi="Liberation Serif;Times New Roman" w:eastAsia="NSimSun" w:cs="Lucida Sans"/>
      <w:color w:val="auto"/>
      <w:kern w:val="0"/>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Arial" w:hAnsi="Liberation Sans;Arial"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Текст в заданном формате"/>
    <w:basedOn w:val="Normal"/>
    <w:qFormat/>
    <w:pPr>
      <w:spacing w:before="0" w:after="0"/>
    </w:pPr>
    <w:rPr>
      <w:rFonts w:ascii="Liberation Mono;Courier New" w:hAnsi="Liberation Mono;Courier New" w:eastAsia="NSimSun" w:cs="Liberation Mono;Courier New"/>
      <w:sz w:val="20"/>
      <w:szCs w:val="20"/>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Liberation Serif;Times New Roman" w:hAnsi="Liberation Serif;Times New Roman" w:eastAsia="NSimSun" w:cs="Lucida Sans"/>
      <w:color w:val="auto"/>
      <w:kern w:val="0"/>
      <w:sz w:val="24"/>
      <w:szCs w:val="24"/>
      <w:lang w:val="ru-RU" w:eastAsia="zh-CN" w:bidi="hi-IN"/>
    </w:rPr>
  </w:style>
  <w:style w:type="paragraph" w:styleId="NormalWeb">
    <w:name w:val="Normal (Web)"/>
    <w:basedOn w:val="Normal"/>
    <w:qFormat/>
    <w:pPr>
      <w:spacing w:lineRule="auto" w:line="240" w:before="120" w:after="120"/>
    </w:pPr>
    <w:rPr>
      <w:rFonts w:ascii="Times New Roman" w:hAnsi="Times New Roman" w:eastAsia="Times New Roman" w:cs="Times New Roman"/>
      <w:sz w:val="24"/>
      <w:szCs w:val="24"/>
      <w:lang w:eastAsia="ru-RU"/>
    </w:rPr>
  </w:style>
  <w:style w:type="paragraph" w:styleId="1">
    <w:name w:val="Обычный1"/>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157</TotalTime>
  <Application>LibreOffice/6.3.3.2$Windows_X86_64 LibreOffice_project/a64200df03143b798afd1ec74a12ab50359878ed</Application>
  <Pages>13</Pages>
  <Words>4385</Words>
  <Characters>30221</Characters>
  <CharactersWithSpaces>34528</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2026-05-27T11:16:49Z</dcterms:modified>
  <cp:revision>23</cp:revision>
  <dc:subject/>
  <dc:title/>
</cp:coreProperties>
</file>