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630"/>
        <w:jc w:val="center"/>
        <w:rPr>
          <w:rFonts w:ascii="Times New Roman" w:hAnsi="Times New Roman" w:cs="Times New Roman"/>
          <w:b/>
          <w:caps/>
          <w:spacing w:val="20"/>
          <w:sz w:val="28"/>
          <w:highlight w:val="none"/>
        </w:rPr>
      </w:pPr>
      <w:r>
        <w:rPr>
          <w:rFonts w:ascii="Times New Roman" w:hAnsi="Times New Roman" w:eastAsia="Times New Roman" w:cs="Times New Roman"/>
          <w:b/>
          <w:caps/>
          <w:spacing w:val="20"/>
          <w:sz w:val="28"/>
          <w:highlight w:val="none"/>
        </w:rPr>
        <w:t xml:space="preserve">заявка на участие в ОТКРЫТОМ аукционе</w:t>
      </w:r>
      <w:r>
        <w:rPr>
          <w:rFonts w:ascii="Times New Roman" w:hAnsi="Times New Roman" w:eastAsia="Times New Roman" w:cs="Times New Roman"/>
          <w:b/>
          <w:caps/>
          <w:spacing w:val="2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aps/>
          <w:spacing w:val="20"/>
          <w:sz w:val="28"/>
          <w:highlight w:val="none"/>
        </w:rPr>
      </w:r>
    </w:p>
    <w:p>
      <w:pPr>
        <w:contextualSpacing/>
        <w:ind w:firstLine="630"/>
        <w:jc w:val="center"/>
        <w:spacing w:before="0"/>
        <w:rPr>
          <w:rFonts w:ascii="Times New Roman" w:hAnsi="Times New Roman" w:eastAsia="Times New Roman" w:cs="Times New Roman"/>
          <w:b/>
          <w:bCs/>
          <w:caps/>
          <w:spacing w:val="2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aps/>
          <w:spacing w:val="20"/>
          <w:sz w:val="28"/>
          <w:highlight w:val="none"/>
        </w:rPr>
        <w:t xml:space="preserve">В ЭЛЕКТРОННОЙ ФОРМЕ</w:t>
      </w:r>
      <w:r>
        <w:rPr>
          <w:rFonts w:ascii="Times New Roman" w:hAnsi="Times New Roman" w:eastAsia="Times New Roman" w:cs="Times New Roman"/>
          <w:b/>
          <w:caps/>
          <w:spacing w:val="2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aps/>
          <w:spacing w:val="20"/>
          <w:sz w:val="28"/>
          <w:highlight w:val="none"/>
        </w:rPr>
      </w:r>
    </w:p>
    <w:p>
      <w:pPr>
        <w:contextualSpacing/>
        <w:ind w:firstLine="630"/>
        <w:jc w:val="center"/>
        <w:spacing w:before="0"/>
        <w:rPr>
          <w:rFonts w:ascii="Times New Roman" w:hAnsi="Times New Roman" w:cs="Times New Roman"/>
          <w:b/>
          <w:bCs/>
          <w:caps/>
          <w:spacing w:val="2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aps/>
          <w:spacing w:val="2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aps/>
          <w:spacing w:val="20"/>
          <w:sz w:val="28"/>
          <w:highlight w:val="none"/>
        </w:rPr>
      </w:r>
    </w:p>
    <w:p>
      <w:pPr>
        <w:ind w:firstLine="567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Изучив Извещение о проведении открытого Аукциона в электронной форме по продаже имущества  АО «ДГК»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и Документацию о продаже имущества АО «ДГК»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(включая все изменения и разъяснения к ним) и безоговорочно принимая установленные в них требования и условия участия и проведения Аукциона, настоящим Заявитель: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jc w:val="both"/>
        <w:tabs>
          <w:tab w:val="right" w:pos="10205" w:leader="underscor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u w:val="single"/>
        </w:rPr>
        <w:tab/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jc w:val="center"/>
        <w:spacing w:before="0"/>
        <w:rPr>
          <w:rFonts w:ascii="Times New Roman" w:hAnsi="Times New Roman" w:cs="Times New Roman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vertAlign w:val="superscript"/>
        </w:rPr>
        <w:t xml:space="preserve">(для юридических лиц и индивидуальных предпринимателей - полное наименование Заявителя;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vertAlign w:val="superscript"/>
        </w:rPr>
      </w:r>
    </w:p>
    <w:p>
      <w:pPr>
        <w:jc w:val="center"/>
        <w:spacing w:before="0"/>
        <w:rPr>
          <w:rFonts w:ascii="Times New Roman" w:hAnsi="Times New Roman" w:cs="Times New Roman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vertAlign w:val="superscript"/>
        </w:rPr>
        <w:t xml:space="preserve">для физических лиц - фамилия, имя, отчество)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vertAlign w:val="superscript"/>
        </w:rPr>
      </w:r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ИНН / КПП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/ ОГРН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/ ОГРНИП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_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u w:val="single"/>
        </w:rPr>
        <w:t xml:space="preserve">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находящийся / зарегистрированный по адресу: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u w:val="single"/>
        </w:rPr>
        <w:t xml:space="preserve">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_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tabs>
          <w:tab w:val="right" w:pos="10205" w:leader="underscor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u w:val="single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jc w:val="center"/>
        <w:spacing w:before="0"/>
        <w:rPr>
          <w:rFonts w:ascii="Times New Roman" w:hAnsi="Times New Roman" w:cs="Times New Roman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vertAlign w:val="superscript"/>
        </w:rPr>
        <w:t xml:space="preserve">(место нахождения / адрес регистрации Заявителя)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vertAlign w:val="superscript"/>
        </w:rPr>
      </w:r>
    </w:p>
    <w:p>
      <w:pPr>
        <w:tabs>
          <w:tab w:val="right" w:pos="10205" w:leader="underscor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Адрес электронной почты: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u w:val="single"/>
        </w:rPr>
        <w:tab/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tabs>
          <w:tab w:val="right" w:pos="10205" w:leader="underscor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Номер контактного телефона: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u w:val="none"/>
        </w:rPr>
        <w:tab/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u w:val="none"/>
        </w:rPr>
      </w:r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выражает свою заинтересованность в участии в открытом Аукционе в электронной форме по продаже следующего имущества со следующей стоимостью (ценой) Заявки: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tbl>
      <w:tblPr>
        <w:tblW w:w="102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075"/>
        <w:gridCol w:w="5131"/>
      </w:tblGrid>
      <w:tr>
        <w:tblPrEx/>
        <w:trPr>
          <w:cantSplit/>
          <w:trHeight w:val="4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5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widowControl w:val="off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Наименование Предмета продажи согласно Извещению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0" w:type="dxa"/>
            <w:textDirection w:val="lrTb"/>
            <w:noWrap w:val="false"/>
          </w:tcPr>
          <w:p>
            <w:pPr>
              <w:jc w:val="center"/>
              <w:spacing w:before="0"/>
              <w:widowControl w:val="off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Стоимость (цена) Заявки по Предмету продажи (первая ценовая ставка в рамках процедуры Аукциона*) с учетом НДС, руб.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cantSplit/>
          <w:trHeight w:val="7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5" w:type="dxa"/>
            <w:textDirection w:val="lrTb"/>
            <w:noWrap w:val="false"/>
          </w:tcPr>
          <w:p>
            <w:pPr>
              <w:jc w:val="left"/>
              <w:spacing w:before="0"/>
              <w:widowControl w:val="off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0" w:type="dxa"/>
            <w:textDirection w:val="lrTb"/>
            <w:noWrap w:val="false"/>
          </w:tcPr>
          <w:p>
            <w:pPr>
              <w:jc w:val="left"/>
              <w:spacing w:before="0"/>
              <w:widowControl w:val="off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highlight w:val="none"/>
                <w:shd w:val="clear" w:color="auto" w:fill="ffff99"/>
              </w:rPr>
              <w:t xml:space="preserve">[цифрами]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руб. </w:t>
            </w:r>
            <w:r>
              <w:rPr>
                <w:rFonts w:ascii="Times New Roman" w:hAnsi="Times New Roman" w:eastAsia="Times New Roman" w:cs="Times New Roman"/>
                <w:i/>
                <w:highlight w:val="none"/>
                <w:shd w:val="clear" w:color="auto" w:fill="ffff99"/>
              </w:rPr>
              <w:t xml:space="preserve">[прописью]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ind w:firstLine="567"/>
        <w:rPr>
          <w:rFonts w:ascii="Times New Roman" w:hAnsi="Times New Roman" w:cs="Times New Roman"/>
          <w:i/>
          <w:highlight w:val="none"/>
        </w:rPr>
      </w:pPr>
      <w:r>
        <w:rPr>
          <w:rFonts w:ascii="Times New Roman" w:hAnsi="Times New Roman" w:eastAsia="Times New Roman" w:cs="Times New Roman"/>
          <w:i/>
          <w:highlight w:val="none"/>
        </w:rPr>
        <w:t xml:space="preserve">*Цена Заявки может быть выше установленной Организатором начальной цены продажи на любую сумму в пределах шага аукциона, указанного в Извещении.</w:t>
      </w:r>
      <w:r>
        <w:rPr>
          <w:rFonts w:ascii="Times New Roman" w:hAnsi="Times New Roman" w:eastAsia="Times New Roman" w:cs="Times New Roman"/>
          <w:i/>
          <w:highlight w:val="none"/>
        </w:rPr>
      </w:r>
      <w:r>
        <w:rPr>
          <w:rFonts w:ascii="Times New Roman" w:hAnsi="Times New Roman" w:eastAsia="Times New Roman" w:cs="Times New Roman"/>
          <w:i/>
          <w:highlight w:val="none"/>
        </w:rPr>
      </w:r>
    </w:p>
    <w:p>
      <w:pPr>
        <w:ind w:firstLine="567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Настоящая Заявка, вк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лючая ценовое предложение, имеет правовой статус оферты и действует вплоть до истечения срока, отведенного на заключение Договора, но не менее чем в течение 90 (девяносто) календарных дней с даты окончания срока подачи Заявок, установленной в Документации.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567"/>
        <w:jc w:val="both"/>
        <w:rPr>
          <w:rFonts w:ascii="Times New Roman" w:hAnsi="Times New Roman" w:cs="Times New Roman"/>
          <w:i/>
          <w:highlight w:val="none"/>
          <w:shd w:val="clear" w:color="auto" w:fill="bfbfbf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 случае признания Аукциона несостоявшимся, указанная в Заявке стоимость (цена) является первой ценовой ставкой в рамках процедуры Аукциона.</w:t>
      </w:r>
      <w:r>
        <w:rPr>
          <w:rFonts w:ascii="Times New Roman" w:hAnsi="Times New Roman" w:eastAsia="Times New Roman" w:cs="Times New Roman"/>
          <w:i/>
          <w:sz w:val="26"/>
          <w:szCs w:val="26"/>
          <w:highlight w:val="none"/>
          <w:shd w:val="clear" w:color="auto" w:fill="bfbfbf"/>
        </w:rPr>
      </w:r>
      <w:r>
        <w:rPr>
          <w:rFonts w:ascii="Times New Roman" w:hAnsi="Times New Roman" w:eastAsia="Times New Roman" w:cs="Times New Roman"/>
          <w:i/>
          <w:sz w:val="26"/>
          <w:szCs w:val="26"/>
          <w:highlight w:val="none"/>
          <w:shd w:val="clear" w:color="auto" w:fill="bfbfbf"/>
        </w:rPr>
      </w:r>
    </w:p>
    <w:p>
      <w:pPr>
        <w:ind w:firstLine="567"/>
        <w:tabs>
          <w:tab w:val="left" w:pos="993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Настоящим Заявитель: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621"/>
        <w:numPr>
          <w:ilvl w:val="0"/>
          <w:numId w:val="1"/>
        </w:numPr>
        <w:ind w:left="0" w:firstLine="567"/>
        <w:tabs>
          <w:tab w:val="left" w:pos="993" w:leader="none"/>
        </w:tabs>
        <w:rPr>
          <w:rFonts w:ascii="Times New Roman" w:hAnsi="Times New Roman" w:cs="Times New Roman"/>
          <w:sz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highlight w:val="none"/>
        </w:rPr>
        <w:t xml:space="preserve">подтверждает, что ознакомлен с Документацией и не имеет к ней претензий;</w:t>
      </w:r>
      <w:r>
        <w:rPr>
          <w:rFonts w:ascii="Times New Roman" w:hAnsi="Times New Roman" w:eastAsia="Times New Roman" w:cs="Times New Roman"/>
          <w:sz w:val="26"/>
          <w:highlight w:val="none"/>
        </w:rPr>
      </w:r>
      <w:r>
        <w:rPr>
          <w:rFonts w:ascii="Times New Roman" w:hAnsi="Times New Roman" w:eastAsia="Times New Roman" w:cs="Times New Roman"/>
          <w:sz w:val="26"/>
          <w:highlight w:val="none"/>
        </w:rPr>
      </w:r>
    </w:p>
    <w:p>
      <w:pPr>
        <w:pStyle w:val="621"/>
        <w:numPr>
          <w:ilvl w:val="0"/>
          <w:numId w:val="1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 w:cs="Times New Roman"/>
          <w:sz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highlight w:val="none"/>
        </w:rPr>
        <w:t xml:space="preserve">заверяет, что в отношении Заявителя не проводится процедура ликвидации; не вве</w:t>
      </w:r>
      <w:r>
        <w:rPr>
          <w:rFonts w:ascii="Times New Roman" w:hAnsi="Times New Roman" w:eastAsia="Times New Roman" w:cs="Times New Roman"/>
          <w:sz w:val="26"/>
          <w:highlight w:val="none"/>
        </w:rPr>
        <w:t xml:space="preserve">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 несостоятельности (банкротстве)»; экономическая деятельность не приостановлена;</w:t>
      </w:r>
      <w:r>
        <w:rPr>
          <w:rFonts w:ascii="Times New Roman" w:hAnsi="Times New Roman" w:eastAsia="Times New Roman" w:cs="Times New Roman"/>
          <w:sz w:val="26"/>
          <w:highlight w:val="none"/>
        </w:rPr>
      </w:r>
      <w:r>
        <w:rPr>
          <w:rFonts w:ascii="Times New Roman" w:hAnsi="Times New Roman" w:eastAsia="Times New Roman" w:cs="Times New Roman"/>
          <w:sz w:val="26"/>
          <w:highlight w:val="none"/>
        </w:rPr>
      </w:r>
    </w:p>
    <w:p>
      <w:pPr>
        <w:pStyle w:val="621"/>
        <w:numPr>
          <w:ilvl w:val="0"/>
          <w:numId w:val="1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 w:cs="Times New Roman"/>
          <w:sz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highlight w:val="none"/>
        </w:rPr>
        <w:t xml:space="preserve">обязуется не вступать в отношения и / или не совершать какие-либо согласованные действия, которые приводят или могут привести к ограничению конкуренции в рамках Аукциона;</w:t>
      </w:r>
      <w:r>
        <w:rPr>
          <w:rFonts w:ascii="Times New Roman" w:hAnsi="Times New Roman" w:eastAsia="Times New Roman" w:cs="Times New Roman"/>
          <w:sz w:val="26"/>
          <w:highlight w:val="none"/>
        </w:rPr>
      </w:r>
      <w:r>
        <w:rPr>
          <w:rFonts w:ascii="Times New Roman" w:hAnsi="Times New Roman" w:eastAsia="Times New Roman" w:cs="Times New Roman"/>
          <w:sz w:val="26"/>
          <w:highlight w:val="none"/>
        </w:rPr>
      </w:r>
    </w:p>
    <w:p>
      <w:pPr>
        <w:pStyle w:val="621"/>
        <w:numPr>
          <w:ilvl w:val="0"/>
          <w:numId w:val="1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 w:cs="Times New Roman"/>
          <w:sz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highlight w:val="none"/>
        </w:rPr>
        <w:t xml:space="preserve">гарантирует достоверность представленной в Заявке информации и подтверждает право Продавца</w:t>
      </w:r>
      <w:r>
        <w:rPr>
          <w:rFonts w:ascii="Times New Roman" w:hAnsi="Times New Roman" w:eastAsia="Times New Roman" w:cs="Times New Roman"/>
          <w:sz w:val="26"/>
          <w:highlight w:val="none"/>
        </w:rPr>
        <w:t xml:space="preserve">, не противоречащее требованию формирования равных для всех участников Аукциона условий, запрашивать у Заявителей, в уполномоченных органах власти и у упомянутых в Заявке юридических и физических лиц информацию, уточняющую представленные в Заявке сведения;</w:t>
      </w:r>
      <w:r>
        <w:rPr>
          <w:rFonts w:ascii="Times New Roman" w:hAnsi="Times New Roman" w:eastAsia="Times New Roman" w:cs="Times New Roman"/>
          <w:sz w:val="26"/>
          <w:highlight w:val="none"/>
        </w:rPr>
      </w:r>
      <w:r>
        <w:rPr>
          <w:rFonts w:ascii="Times New Roman" w:hAnsi="Times New Roman" w:eastAsia="Times New Roman" w:cs="Times New Roman"/>
          <w:sz w:val="26"/>
          <w:highlight w:val="none"/>
        </w:rPr>
      </w:r>
    </w:p>
    <w:p>
      <w:pPr>
        <w:pStyle w:val="621"/>
        <w:numPr>
          <w:ilvl w:val="0"/>
          <w:numId w:val="1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 w:cs="Times New Roman"/>
          <w:sz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highlight w:val="none"/>
        </w:rPr>
        <w:t xml:space="preserve">согласен с тем, что в случае предоставления в Заявке недостоверных сведений, Заявитель может быть не</w:t>
      </w:r>
      <w:r>
        <w:rPr>
          <w:rFonts w:ascii="Times New Roman" w:hAnsi="Times New Roman" w:eastAsia="Times New Roman" w:cs="Times New Roman"/>
          <w:sz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highlight w:val="none"/>
        </w:rPr>
        <w:t xml:space="preserve">допущен до участия в Аукционе, а в случае, если недостоверность предоставленных в Заявке сведений будет выявлена после заключения Договора купли-продажи, такой Договор может быть расторгнут Продавцом;</w:t>
      </w:r>
      <w:r>
        <w:rPr>
          <w:rFonts w:ascii="Times New Roman" w:hAnsi="Times New Roman" w:eastAsia="Times New Roman" w:cs="Times New Roman"/>
          <w:sz w:val="26"/>
          <w:highlight w:val="none"/>
        </w:rPr>
      </w:r>
      <w:r>
        <w:rPr>
          <w:rFonts w:ascii="Times New Roman" w:hAnsi="Times New Roman" w:eastAsia="Times New Roman" w:cs="Times New Roman"/>
          <w:sz w:val="26"/>
          <w:highlight w:val="none"/>
        </w:rPr>
      </w:r>
    </w:p>
    <w:p>
      <w:pPr>
        <w:pStyle w:val="621"/>
        <w:numPr>
          <w:ilvl w:val="0"/>
          <w:numId w:val="1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 w:cs="Times New Roman"/>
          <w:sz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highlight w:val="none"/>
        </w:rPr>
        <w:t xml:space="preserve">в случае если предложение по цене, указанное в настоящей Заявке, будет признано лучшими, принимает на себя обязательства подписать Договор купли-про</w:t>
      </w:r>
      <w:r>
        <w:rPr>
          <w:rFonts w:ascii="Times New Roman" w:hAnsi="Times New Roman" w:eastAsia="Times New Roman" w:cs="Times New Roman"/>
          <w:sz w:val="26"/>
          <w:highlight w:val="none"/>
        </w:rPr>
        <w:t xml:space="preserve">дажи с Продавцом в соответствии с требованиями Документации и условиями настоящей Заявки, в том числе итоговым ценовым предложением по результатам проведения Аукциона либо первой ценовой ставкой, указанной выше – в случае признания Аукциона несостоявшимся;</w:t>
      </w:r>
      <w:r>
        <w:rPr>
          <w:rFonts w:ascii="Times New Roman" w:hAnsi="Times New Roman" w:eastAsia="Times New Roman" w:cs="Times New Roman"/>
          <w:sz w:val="26"/>
          <w:highlight w:val="none"/>
        </w:rPr>
      </w:r>
      <w:r>
        <w:rPr>
          <w:rFonts w:ascii="Times New Roman" w:hAnsi="Times New Roman" w:eastAsia="Times New Roman" w:cs="Times New Roman"/>
          <w:sz w:val="26"/>
          <w:highlight w:val="none"/>
        </w:rPr>
      </w:r>
    </w:p>
    <w:p>
      <w:pPr>
        <w:pStyle w:val="621"/>
        <w:numPr>
          <w:ilvl w:val="0"/>
          <w:numId w:val="1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 w:cs="Times New Roman"/>
          <w:sz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highlight w:val="none"/>
        </w:rPr>
        <w:t xml:space="preserve">в случае если предложение, указанное в настоящей Заявке, будут лучшим после предложения победителя Аукциона, а победитель Аукциона будет признан уклонившим</w:t>
      </w:r>
      <w:r>
        <w:rPr>
          <w:rFonts w:ascii="Times New Roman" w:hAnsi="Times New Roman" w:eastAsia="Times New Roman" w:cs="Times New Roman"/>
          <w:sz w:val="26"/>
          <w:highlight w:val="none"/>
        </w:rPr>
        <w:t xml:space="preserve">ся от заключения Договора купли-продажи, обязуется подписать Договор купли-продажи в соответствии с требованиями Документации и условиями настоящей Заявки, в том числе ценовым предложением по результатам проведения Аукциона, заявленного Заявителем последни</w:t>
      </w:r>
      <w:r>
        <w:rPr>
          <w:rFonts w:ascii="Times New Roman" w:hAnsi="Times New Roman" w:eastAsia="Times New Roman" w:cs="Times New Roman"/>
          <w:sz w:val="26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sz w:val="26"/>
          <w:highlight w:val="none"/>
        </w:rPr>
        <w:t xml:space="preserve"> в ходе аукциона;</w:t>
      </w:r>
      <w:r>
        <w:rPr>
          <w:rFonts w:ascii="Times New Roman" w:hAnsi="Times New Roman" w:eastAsia="Times New Roman" w:cs="Times New Roman"/>
          <w:sz w:val="26"/>
          <w:highlight w:val="none"/>
        </w:rPr>
      </w:r>
      <w:r>
        <w:rPr>
          <w:rFonts w:ascii="Times New Roman" w:hAnsi="Times New Roman" w:eastAsia="Times New Roman" w:cs="Times New Roman"/>
          <w:sz w:val="26"/>
          <w:highlight w:val="none"/>
        </w:rPr>
      </w:r>
    </w:p>
    <w:p>
      <w:pPr>
        <w:pStyle w:val="621"/>
        <w:numPr>
          <w:ilvl w:val="0"/>
          <w:numId w:val="1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 w:cs="Times New Roman"/>
          <w:sz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highlight w:val="none"/>
        </w:rPr>
        <w:t xml:space="preserve">согласен с тем, что внесенная сумма задатка, если он предусмотрен Документацией, Участнику не возвращается и перечисляется Продавцу в случае пр</w:t>
      </w:r>
      <w:r>
        <w:rPr>
          <w:rFonts w:ascii="Times New Roman" w:hAnsi="Times New Roman" w:eastAsia="Times New Roman" w:cs="Times New Roman"/>
          <w:sz w:val="26"/>
          <w:highlight w:val="none"/>
        </w:rPr>
        <w:t xml:space="preserve">изнания Участника победителем Аукциона (или принятия решения о заключении Договора в установленных Документациях случаях), а также в случае уклонения или отказа победителя Аукциона от заключения Договора купли-продажи в установленном Документацией порядке.</w:t>
      </w:r>
      <w:r>
        <w:rPr>
          <w:rFonts w:ascii="Times New Roman" w:hAnsi="Times New Roman" w:eastAsia="Times New Roman" w:cs="Times New Roman"/>
          <w:sz w:val="26"/>
          <w:highlight w:val="none"/>
        </w:rPr>
      </w:r>
      <w:r>
        <w:rPr>
          <w:rFonts w:ascii="Times New Roman" w:hAnsi="Times New Roman" w:eastAsia="Times New Roman" w:cs="Times New Roman"/>
          <w:sz w:val="26"/>
          <w:highlight w:val="none"/>
        </w:rPr>
      </w:r>
    </w:p>
    <w:p>
      <w:pPr>
        <w:pStyle w:val="621"/>
        <w:numPr>
          <w:ilvl w:val="0"/>
          <w:numId w:val="1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 w:cs="Times New Roman"/>
          <w:sz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highlight w:val="none"/>
        </w:rPr>
        <w:t xml:space="preserve">сообщает, что для оперативного уведомления по вопросам организационного характера и взаимодействия с Организатором (Продавцом) уполномочено следующее лицо:</w:t>
      </w:r>
      <w:r>
        <w:rPr>
          <w:rFonts w:ascii="Times New Roman" w:hAnsi="Times New Roman" w:eastAsia="Times New Roman" w:cs="Times New Roman"/>
          <w:sz w:val="26"/>
          <w:highlight w:val="none"/>
        </w:rPr>
      </w:r>
      <w:r>
        <w:rPr>
          <w:rFonts w:ascii="Times New Roman" w:hAnsi="Times New Roman" w:eastAsia="Times New Roman" w:cs="Times New Roman"/>
          <w:sz w:val="26"/>
          <w:highlight w:val="none"/>
        </w:rPr>
      </w:r>
    </w:p>
    <w:p>
      <w:pPr>
        <w:tabs>
          <w:tab w:val="left" w:pos="993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  <w:u w:val="single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center"/>
        <w:spacing w:before="0"/>
        <w:tabs>
          <w:tab w:val="left" w:pos="993" w:leader="none"/>
        </w:tabs>
        <w:rPr>
          <w:rFonts w:ascii="Times New Roman" w:hAnsi="Times New Roman" w:cs="Times New Roman"/>
          <w:szCs w:val="28"/>
          <w:highlight w:val="none"/>
          <w:vertAlign w:val="superscript"/>
        </w:rPr>
      </w:pPr>
      <w:r>
        <w:rPr>
          <w:rFonts w:ascii="Times New Roman" w:hAnsi="Times New Roman" w:eastAsia="Times New Roman" w:cs="Times New Roman"/>
          <w:szCs w:val="28"/>
          <w:highlight w:val="none"/>
          <w:vertAlign w:val="superscript"/>
        </w:rPr>
        <w:t xml:space="preserve">(Ф.И.О., должность и контактная информацию уполномоченного лица, включая номер телефона и адрес электронной почты)</w:t>
      </w:r>
      <w:r>
        <w:rPr>
          <w:rFonts w:ascii="Times New Roman" w:hAnsi="Times New Roman" w:eastAsia="Times New Roman" w:cs="Times New Roman"/>
          <w:szCs w:val="28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szCs w:val="28"/>
          <w:highlight w:val="none"/>
          <w:vertAlign w:val="superscript"/>
        </w:rPr>
      </w:r>
    </w:p>
    <w:p>
      <w:pPr>
        <w:jc w:val="both"/>
        <w:tabs>
          <w:tab w:val="left" w:pos="993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которому сообщаются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все сведения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и информация о проведении Аукциона просим сообщать указанному уполномоченному лицу. Предоставленные указанному лицу сведения и информация по указанному адресу электронной почты считается адресованной и полученной непосредственно Заявителем.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621"/>
        <w:numPr>
          <w:ilvl w:val="0"/>
          <w:numId w:val="1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 w:cs="Times New Roman"/>
          <w:sz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highlight w:val="none"/>
        </w:rPr>
        <w:t xml:space="preserve">удостоверяет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  <w:r>
        <w:rPr>
          <w:rFonts w:ascii="Times New Roman" w:hAnsi="Times New Roman" w:eastAsia="Times New Roman" w:cs="Times New Roman"/>
          <w:sz w:val="26"/>
          <w:highlight w:val="none"/>
        </w:rPr>
      </w:r>
      <w:r>
        <w:rPr>
          <w:rFonts w:ascii="Times New Roman" w:hAnsi="Times New Roman" w:eastAsia="Times New Roman" w:cs="Times New Roman"/>
          <w:sz w:val="26"/>
          <w:highlight w:val="none"/>
        </w:rPr>
      </w:r>
    </w:p>
    <w:p>
      <w:pPr>
        <w:ind w:firstLine="567"/>
        <w:tabs>
          <w:tab w:val="left" w:pos="0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highlight w:val="none"/>
        </w:rPr>
        <w:t xml:space="preserve">К настоящей Заявке прилагаются следующие документы, подтверждающие соответствие Участника обязательным требованиям Документации о продаже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(Приложение № 3 к Документации)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tbl>
      <w:tblPr>
        <w:tblW w:w="9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07"/>
        <w:gridCol w:w="6643"/>
        <w:gridCol w:w="1995"/>
      </w:tblGrid>
      <w:tr>
        <w:tblPrEx/>
        <w:trPr>
          <w:trHeight w:val="70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contextualSpacing/>
              <w:ind w:right="-2"/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№ п\п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vAlign w:val="center"/>
            <w:textDirection w:val="lrTb"/>
            <w:noWrap w:val="false"/>
          </w:tcPr>
          <w:p>
            <w:pPr>
              <w:contextualSpacing/>
              <w:ind w:right="-2"/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Наименование документа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contextualSpacing/>
              <w:ind w:right="-2"/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Кол-во страниц документа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contextualSpacing/>
              <w:ind w:right="-2"/>
              <w:jc w:val="center"/>
              <w:spacing w:before="0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ind w:right="-2"/>
              <w:jc w:val="left"/>
              <w:spacing w:before="0" w:line="276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contextualSpacing/>
              <w:ind w:right="-2"/>
              <w:jc w:val="center"/>
              <w:spacing w:before="0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ind w:right="-2"/>
              <w:jc w:val="left"/>
              <w:spacing w:before="0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contextualSpacing/>
              <w:ind w:right="-2"/>
              <w:jc w:val="center"/>
              <w:spacing w:before="0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6643" w:type="dxa"/>
            <w:textDirection w:val="lrTb"/>
            <w:noWrap w:val="false"/>
          </w:tcPr>
          <w:p>
            <w:pPr>
              <w:ind w:right="-2"/>
              <w:jc w:val="left"/>
              <w:spacing w:before="0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95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0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right="-2"/>
              <w:jc w:val="center"/>
              <w:spacing w:before="0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......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643" w:type="dxa"/>
            <w:vMerge w:val="restart"/>
            <w:textDirection w:val="lrTb"/>
            <w:noWrap w:val="false"/>
          </w:tcPr>
          <w:p>
            <w:pPr>
              <w:ind w:right="-2"/>
              <w:jc w:val="left"/>
              <w:spacing w:before="0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5" w:type="dxa"/>
            <w:vMerge w:val="restart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</w:tbl>
    <w:p>
      <w:pPr>
        <w:pStyle w:val="1_635"/>
        <w:numPr>
          <w:ilvl w:val="0"/>
          <w:numId w:val="0"/>
        </w:numPr>
        <w:ind w:left="2214" w:hanging="1134"/>
        <w:jc w:val="center"/>
        <w:widowControl w:val="off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highlight w:val="none"/>
        </w:rPr>
      </w:r>
      <w:r>
        <w:rPr>
          <w:rFonts w:ascii="Times New Roman" w:hAnsi="Times New Roman" w:eastAsia="Times New Roman" w:cs="Times New Roman"/>
          <w:b/>
          <w:highlight w:val="none"/>
        </w:rPr>
      </w:r>
    </w:p>
    <w:p>
      <w:pPr>
        <w:pStyle w:val="1_635"/>
        <w:numPr>
          <w:ilvl w:val="0"/>
          <w:numId w:val="0"/>
        </w:numPr>
        <w:ind w:left="2214" w:hanging="1134"/>
        <w:jc w:val="center"/>
        <w:widowControl w:val="off"/>
        <w:rPr>
          <w:rFonts w:ascii="Times New Roman" w:hAnsi="Times New Roman" w:eastAsia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highlight w:val="none"/>
        </w:rPr>
        <w:t xml:space="preserve">Инструкции по заполнению Заявки</w:t>
      </w:r>
      <w:r>
        <w:rPr>
          <w:rFonts w:ascii="Times New Roman" w:hAnsi="Times New Roman" w:eastAsia="Times New Roman" w:cs="Times New Roman"/>
          <w:b/>
          <w:highlight w:val="none"/>
        </w:rPr>
      </w:r>
      <w:r>
        <w:rPr>
          <w:rFonts w:ascii="Times New Roman" w:hAnsi="Times New Roman" w:eastAsia="Times New Roman" w:cs="Times New Roman"/>
          <w:b/>
          <w:highlight w:val="none"/>
        </w:rPr>
      </w:r>
    </w:p>
    <w:p>
      <w:pPr>
        <w:pStyle w:val="1_636"/>
        <w:numPr>
          <w:ilvl w:val="0"/>
          <w:numId w:val="0"/>
        </w:numPr>
        <w:ind w:left="90" w:firstLine="104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Заявку следует оформить на официальном бланке Заявителя / Участника (если применимо). Заявитель / Участник при необходимости присваивает Заявке дату и номер в соответствии с принятыми у него правилами документооборота.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1_636"/>
        <w:numPr>
          <w:ilvl w:val="0"/>
          <w:numId w:val="0"/>
        </w:numPr>
        <w:ind w:left="90" w:firstLine="990"/>
        <w:tabs>
          <w:tab w:val="left" w:pos="1440" w:leader="none"/>
          <w:tab w:val="left" w:pos="1530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bookmarkStart w:id="0" w:name="undefined"/>
      <w:r>
        <w:rPr>
          <w:rFonts w:ascii="Times New Roman" w:hAnsi="Times New Roman" w:eastAsia="Times New Roman" w:cs="Times New Roman"/>
          <w:highlight w:val="none"/>
        </w:rPr>
        <w:t xml:space="preserve">Заявка на участие в продаже должна быть подписана электронной подписью в соответствии с регламентом ЭТП.</w:t>
      </w:r>
      <w:bookmarkEnd w:id="0"/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footnotePr/>
      <w:endnotePr/>
      <w:type w:val="nextPage"/>
      <w:pgSz w:w="11906" w:h="16838" w:orient="portrait"/>
      <w:pgMar w:top="720" w:right="720" w:bottom="720" w:left="145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0" w:leader="none"/>
        </w:tabs>
      </w:pPr>
      <w:rPr>
        <w:b/>
      </w:rPr>
    </w:lvl>
    <w:lvl w:ilvl="1">
      <w:start w:val="3"/>
      <w:numFmt w:val="decimal"/>
      <w:isLgl w:val="false"/>
      <w:suff w:val="tab"/>
      <w:lvlText w:val="%1.%2."/>
      <w:lvlJc w:val="left"/>
      <w:pPr>
        <w:ind w:left="1287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07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7" w:hanging="180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5" w:customStyle="1">
    <w:name w:val="Пункт"/>
    <w:basedOn w:val="1216"/>
    <w:link w:val="1281"/>
    <w:qFormat/>
    <w:pPr>
      <w:numPr>
        <w:ilvl w:val="2"/>
        <w:numId w:val="0"/>
      </w:numPr>
      <w:contextualSpacing w:val="0"/>
      <w:ind w:left="2214" w:right="0" w:hanging="1134"/>
      <w:jc w:val="both"/>
      <w:keepLines w:val="0"/>
      <w:keepNext w:val="0"/>
      <w:pageBreakBefore w:val="0"/>
      <w:spacing w:before="120" w:beforeAutospacing="0" w:after="0" w:afterAutospacing="0" w:line="240" w:lineRule="auto"/>
      <w:shd w:val="nil" w:color="000000"/>
      <w:widowControl/>
      <w:tabs>
        <w:tab w:val="num" w:pos="221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6" w:customStyle="1">
    <w:name w:val="Подпункт"/>
    <w:basedOn w:val="1_635"/>
    <w:link w:val="1251"/>
    <w:qFormat/>
    <w:pPr>
      <w:numPr>
        <w:ilvl w:val="3"/>
        <w:numId w:val="0"/>
      </w:numPr>
      <w:contextualSpacing w:val="0"/>
      <w:ind w:left="1134" w:right="0" w:hanging="1134"/>
      <w:jc w:val="both"/>
      <w:keepLines w:val="0"/>
      <w:keepNext w:val="0"/>
      <w:pageBreakBefore w:val="0"/>
      <w:spacing w:before="120" w:beforeAutospacing="0" w:after="0" w:afterAutospacing="0" w:line="240" w:lineRule="auto"/>
      <w:shd w:val="nil" w:color="000000"/>
      <w:widowControl/>
      <w:tabs>
        <w:tab w:val="num" w:pos="1134" w:leader="none"/>
        <w:tab w:val="num" w:pos="221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konovalova_la</cp:lastModifiedBy>
  <cp:revision>1</cp:revision>
  <dcterms:modified xsi:type="dcterms:W3CDTF">2026-02-18T23:31:35Z</dcterms:modified>
</cp:coreProperties>
</file>