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Извещение о проведении открытого аукциона в электронной форме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 продаже имущества АО «ДГК»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5"/>
        <w:ind w:firstLine="540"/>
        <w:widowControl w:val="off"/>
        <w:rPr>
          <w:b w:val="0"/>
          <w:sz w:val="26"/>
          <w:szCs w:val="26"/>
          <w:highlight w:val="none"/>
        </w:rPr>
      </w:pPr>
      <w:r>
        <w:rPr>
          <w:i/>
          <w:sz w:val="26"/>
          <w:szCs w:val="26"/>
          <w:highlight w:val="none"/>
        </w:rPr>
        <w:t xml:space="preserve">Продавец (Организатор продажи)</w:t>
      </w:r>
      <w:r>
        <w:rPr>
          <w:b w:val="0"/>
          <w:sz w:val="26"/>
          <w:szCs w:val="26"/>
          <w:highlight w:val="none"/>
        </w:rPr>
        <w:t xml:space="preserve">: 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65"/>
        <w:spacing w:before="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Акционерное общество «Дальневосточная генерирующая компания» (АО «ДГК»).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65"/>
        <w:spacing w:before="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Место нахождения: </w:t>
      </w:r>
      <w:r>
        <w:rPr>
          <w:b w:val="0"/>
          <w:sz w:val="26"/>
          <w:szCs w:val="26"/>
          <w:highlight w:val="none"/>
        </w:rPr>
        <w:t xml:space="preserve">Российская Федерация, г. Хабаровск. Адрес: 680000, г. Хабаровск, ул. Фрунзе, 49.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65"/>
        <w:spacing w:before="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Почтовый адрес: 680000, Хабаровский край, г. Хабаровск, ул. Фрунзе, 49, каб. 402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65"/>
        <w:contextualSpacing/>
        <w:spacing w:before="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Адрес эле</w:t>
      </w:r>
      <w:bookmarkStart w:id="2" w:name="_GoBack"/>
      <w:r>
        <w:rPr>
          <w:highlight w:val="none"/>
        </w:rPr>
      </w:r>
      <w:bookmarkEnd w:id="2"/>
      <w:r>
        <w:rPr>
          <w:b w:val="0"/>
          <w:sz w:val="26"/>
          <w:szCs w:val="26"/>
          <w:highlight w:val="none"/>
        </w:rPr>
        <w:t xml:space="preserve">ктронной почты: </w:t>
      </w:r>
      <w:hyperlink r:id="rId9" w:tooltip="mailto:konovalova-la@dgk.ru" w:history="1">
        <w:r>
          <w:rPr>
            <w:rStyle w:val="851"/>
            <w:b w:val="0"/>
            <w:sz w:val="26"/>
            <w:szCs w:val="26"/>
            <w:highlight w:val="none"/>
          </w:rPr>
          <w:t xml:space="preserve">konovalova-la@dgk.ru</w:t>
        </w:r>
      </w:hyperlink>
      <w:r>
        <w:rPr>
          <w:rStyle w:val="852"/>
          <w:i w:val="0"/>
          <w:sz w:val="26"/>
          <w:szCs w:val="26"/>
          <w:highlight w:val="none"/>
          <w:shd w:val="clear" w:color="auto" w:fill="auto"/>
        </w:rPr>
        <w:t xml:space="preserve">.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65"/>
        <w:contextualSpacing/>
        <w:spacing w:before="0" w:after="12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Контактный телефон: </w:t>
      </w:r>
      <w:r>
        <w:rPr>
          <w:rStyle w:val="852"/>
          <w:i w:val="0"/>
          <w:sz w:val="26"/>
          <w:szCs w:val="26"/>
          <w:highlight w:val="none"/>
          <w:shd w:val="clear" w:color="auto" w:fill="auto"/>
        </w:rPr>
        <w:t xml:space="preserve">8 (4212) 26-47-05, 8 – 914 – 406 – 29 – 51.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65"/>
        <w:contextualSpacing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Контактное лицо (Ф.И.О.): </w:t>
      </w:r>
      <w:r>
        <w:rPr>
          <w:rStyle w:val="852"/>
          <w:i w:val="0"/>
          <w:sz w:val="26"/>
          <w:szCs w:val="26"/>
          <w:highlight w:val="none"/>
          <w:shd w:val="clear" w:color="auto" w:fill="auto"/>
        </w:rPr>
        <w:t xml:space="preserve">Коновалова Любовь </w:t>
      </w:r>
      <w:r>
        <w:rPr>
          <w:rStyle w:val="852"/>
          <w:i w:val="0"/>
          <w:sz w:val="26"/>
          <w:szCs w:val="26"/>
          <w:highlight w:val="none"/>
          <w:shd w:val="clear" w:color="auto" w:fill="auto"/>
        </w:rPr>
        <w:t xml:space="preserve">Анатольевна. 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65"/>
        <w:contextualSpacing/>
        <w:ind w:firstLine="708"/>
        <w:spacing w:before="0" w:after="12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65"/>
        <w:contextualSpacing/>
        <w:ind w:firstLine="708"/>
        <w:spacing w:before="0" w:after="120"/>
        <w:widowControl w:val="off"/>
        <w:rPr>
          <w:b w:val="0"/>
          <w:bCs w:val="0"/>
          <w:sz w:val="26"/>
          <w:szCs w:val="26"/>
          <w:highlight w:val="none"/>
        </w:rPr>
      </w:pPr>
      <w:r>
        <w:rPr>
          <w:i/>
          <w:sz w:val="26"/>
          <w:szCs w:val="26"/>
          <w:highlight w:val="none"/>
        </w:rPr>
        <w:t xml:space="preserve">Предмет продажи:</w:t>
      </w:r>
      <w:r>
        <w:rPr>
          <w:highlight w:val="none"/>
        </w:rPr>
        <w:t xml:space="preserve"> </w:t>
      </w:r>
      <w:r>
        <w:rPr>
          <w:b w:val="0"/>
          <w:sz w:val="26"/>
          <w:szCs w:val="26"/>
          <w:highlight w:val="none"/>
          <w:lang w:eastAsia="en-US"/>
        </w:rPr>
        <w:t xml:space="preserve">движимое имущество — </w:t>
      </w:r>
      <w:r>
        <w:rPr>
          <w:b w:val="0"/>
          <w:bCs w:val="0"/>
          <w:sz w:val="26"/>
          <w:szCs w:val="26"/>
          <w:highlight w:val="none"/>
        </w:rPr>
        <w:t xml:space="preserve">Тепловоз маневровый ТЭМ 1 №1828</w:t>
      </w:r>
      <w:r>
        <w:rPr>
          <w:b w:val="0"/>
          <w:bCs w:val="0"/>
          <w:sz w:val="26"/>
          <w:szCs w:val="26"/>
          <w:highlight w:val="none"/>
        </w:rPr>
        <w:t xml:space="preserve">, </w:t>
      </w:r>
      <w:r>
        <w:rPr>
          <w:b w:val="0"/>
          <w:bCs w:val="0"/>
          <w:sz w:val="26"/>
          <w:szCs w:val="26"/>
          <w:highlight w:val="none"/>
        </w:rPr>
        <w:t xml:space="preserve">расположенный по адресу: </w:t>
      </w:r>
      <w:r>
        <w:rPr>
          <w:b w:val="0"/>
          <w:bCs w:val="0"/>
          <w:sz w:val="26"/>
          <w:szCs w:val="26"/>
          <w:highlight w:val="none"/>
        </w:rPr>
        <w:t xml:space="preserve">Приморский</w:t>
      </w:r>
      <w:r>
        <w:rPr>
          <w:b w:val="0"/>
          <w:bCs w:val="0"/>
          <w:sz w:val="26"/>
          <w:szCs w:val="26"/>
          <w:highlight w:val="none"/>
        </w:rPr>
        <w:t xml:space="preserve"> край, г.Артём, ул. Каширская, 8а</w:t>
      </w:r>
      <w:r>
        <w:rPr>
          <w:b w:val="0"/>
          <w:bCs w:val="0"/>
          <w:sz w:val="26"/>
          <w:szCs w:val="26"/>
          <w:highlight w:val="none"/>
        </w:rPr>
        <w:t xml:space="preserve">.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p>
      <w:pPr>
        <w:ind w:firstLine="540"/>
        <w:rPr>
          <w:bCs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Краткое описание Предмета продажи:</w:t>
      </w:r>
      <w:r>
        <w:rPr>
          <w:highlight w:val="none"/>
        </w:rPr>
        <w:t xml:space="preserve"> </w:t>
      </w:r>
      <w:r>
        <w:rPr>
          <w:bCs/>
          <w:i/>
          <w:highlight w:val="none"/>
          <w:shd w:val="clear" w:color="auto" w:fill="ffff99"/>
        </w:rPr>
      </w:r>
      <w:r>
        <w:rPr>
          <w:bCs/>
          <w:i/>
          <w:highlight w:val="none"/>
          <w:shd w:val="clear" w:color="auto" w:fill="ffff99"/>
        </w:rPr>
      </w:r>
    </w:p>
    <w:tbl>
      <w:tblPr>
        <w:tblStyle w:val="708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610"/>
        <w:gridCol w:w="2257"/>
        <w:gridCol w:w="2257"/>
        <w:gridCol w:w="2257"/>
        <w:gridCol w:w="2257"/>
        <w:gridCol w:w="2257"/>
      </w:tblGrid>
      <w:tr>
        <w:tblPrEx/>
        <w:trPr>
          <w:jc w:val="center"/>
        </w:trPr>
        <w:tc>
          <w:tcPr>
            <w:tcW w:w="6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 п/п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Адрес местонахождения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Кадастровый (условный, </w:t>
            </w:r>
            <w:r>
              <w:rPr>
                <w:sz w:val="24"/>
                <w:szCs w:val="24"/>
                <w:highlight w:val="none"/>
                <w:u w:val="single"/>
              </w:rPr>
              <w:t xml:space="preserve">инвентаризационный</w:t>
            </w:r>
            <w:r>
              <w:rPr>
                <w:sz w:val="24"/>
                <w:szCs w:val="24"/>
                <w:highlight w:val="none"/>
              </w:rPr>
              <w:t xml:space="preserve">) номер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Тип имущества (движимое/недвижимое)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Информация о текущем состоянии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  <w:t xml:space="preserve">Тепловоз маневровый ТЭМ 1 №1828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  <w:t xml:space="preserve">Приморский</w:t>
            </w:r>
            <w:r>
              <w:rPr>
                <w:highlight w:val="none"/>
              </w:rPr>
              <w:t xml:space="preserve"> край, г.Артём, ул. Каширская, 8а</w:t>
            </w:r>
            <w:r>
              <w:rPr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№00000000000000040755 (Е2670048)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Движимое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  <w:t xml:space="preserve">Не рабочее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ind w:firstLine="540"/>
        <w:widowControl w:val="off"/>
        <w:tabs>
          <w:tab w:val="left" w:pos="426" w:leader="none"/>
        </w:tabs>
        <w:rPr>
          <w:highlight w:val="none"/>
        </w:rPr>
      </w:pPr>
      <w:r>
        <w:rPr>
          <w:b/>
          <w:i/>
          <w:highlight w:val="none"/>
        </w:rPr>
        <w:t xml:space="preserve">Обременения: </w:t>
      </w:r>
      <w:r>
        <w:rPr>
          <w:highlight w:val="none"/>
        </w:rPr>
        <w:t xml:space="preserve">отсутствуют.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widowControl w:val="off"/>
        <w:tabs>
          <w:tab w:val="left" w:pos="426" w:leader="none"/>
        </w:tabs>
        <w:rPr>
          <w:highlight w:val="none"/>
          <w14:ligatures w14:val="none"/>
        </w:rPr>
      </w:pPr>
      <w:r>
        <w:rPr>
          <w:b/>
          <w:i/>
          <w:highlight w:val="none"/>
        </w:rPr>
        <w:t xml:space="preserve">Начальная цена продажи</w:t>
      </w:r>
      <w:r>
        <w:rPr>
          <w:highlight w:val="none"/>
        </w:rPr>
        <w:t xml:space="preserve">: 6 929 600 (Шесть миллионов девятьсот двадцать девять тысяч шестьсот) рублей 00 копеек, в том числе НДС </w:t>
      </w:r>
      <w:r>
        <w:rPr>
          <w:highlight w:val="none"/>
        </w:rPr>
        <w:t xml:space="preserve">(22%)</w:t>
      </w:r>
      <w:r>
        <w:rPr>
          <w:highlight w:val="none"/>
        </w:rP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540"/>
        <w:spacing w:after="120"/>
        <w:tabs>
          <w:tab w:val="left" w:pos="426" w:leader="none"/>
        </w:tabs>
        <w:rPr>
          <w:szCs w:val="28"/>
          <w:highlight w:val="none"/>
        </w:rPr>
      </w:pPr>
      <w:r>
        <w:rPr>
          <w:b/>
          <w:i/>
          <w:highlight w:val="none"/>
        </w:rPr>
        <w:t xml:space="preserve">«Шаг» аукциона:</w:t>
      </w:r>
      <w:r>
        <w:rPr>
          <w:highlight w:val="none"/>
        </w:rPr>
        <w:t xml:space="preserve"> «3» % от начальной цены продажи, </w:t>
      </w:r>
      <w:r>
        <w:rPr>
          <w:highlight w:val="none"/>
        </w:rPr>
        <w:t xml:space="preserve">указанной в настоящем Извещении, что составляет 207 888,00 (Двести семь </w:t>
      </w:r>
      <w:r>
        <w:rPr>
          <w:szCs w:val="28"/>
          <w:highlight w:val="none"/>
        </w:rPr>
        <w:t xml:space="preserve">тысяч восемьсот восемьдесят восемь) рублей 00 копеек, в том числе </w:t>
      </w:r>
      <w:r>
        <w:rPr>
          <w:szCs w:val="28"/>
          <w:highlight w:val="none"/>
        </w:rPr>
        <w:t xml:space="preserve">НДС (22%).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Размер задатка</w:t>
      </w:r>
      <w:r>
        <w:rPr>
          <w:highlight w:val="none"/>
        </w:rPr>
        <w:t xml:space="preserve">: 350 000</w:t>
      </w:r>
      <w:r>
        <w:rPr>
          <w:highlight w:val="none"/>
        </w:rPr>
        <w:t xml:space="preserve"> (Триста пятьдесят тысяч</w:t>
      </w:r>
      <w:r>
        <w:rPr>
          <w:highlight w:val="none"/>
        </w:rPr>
        <w:t xml:space="preserve">) рублей 00 копеек, НДС не облагается.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b/>
          <w:i/>
          <w:highlight w:val="none"/>
        </w:rPr>
      </w:pPr>
      <w:r>
        <w:rPr>
          <w:b/>
          <w:i/>
          <w:highlight w:val="none"/>
        </w:rPr>
        <w:t xml:space="preserve">Срок и порядок внесения задатка: </w:t>
      </w:r>
      <w:r>
        <w:rPr>
          <w:highlight w:val="none"/>
        </w:rPr>
        <w:t xml:space="preserve">с начала приема заявок по</w:t>
      </w:r>
      <w:r>
        <w:rPr>
          <w:b/>
          <w:i/>
          <w:highlight w:val="none"/>
        </w:rPr>
        <w:t xml:space="preserve"> </w:t>
      </w:r>
      <w:r>
        <w:rPr>
          <w:highlight w:val="none"/>
        </w:rPr>
        <w:t xml:space="preserve">«20» июля 2026 г.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ind w:firstLine="540"/>
        <w:rPr>
          <w:highlight w:val="none"/>
        </w:rPr>
      </w:pPr>
      <w:r>
        <w:rPr>
          <w:highlight w:val="none"/>
        </w:rPr>
        <w:t xml:space="preserve">Информация об условиях внесения задатка приведена в Документации о продаже.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Дата и время начала подачи Заявок</w:t>
      </w:r>
      <w:r>
        <w:rPr>
          <w:highlight w:val="none"/>
        </w:rPr>
        <w:t xml:space="preserve">: «05» июня </w:t>
      </w:r>
      <w:r>
        <w:rPr>
          <w:highlight w:val="none"/>
        </w:rPr>
        <w:t xml:space="preserve">2026г. 17 ч. 00 мин. (по местному времени Продавца / Организатора продажи.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rFonts w:eastAsia="Lucida Sans Unicode"/>
          <w:bCs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Дата и время окончания подачи Заявок</w:t>
      </w:r>
      <w:r>
        <w:rPr>
          <w:i/>
          <w:highlight w:val="none"/>
        </w:rPr>
        <w:t xml:space="preserve">: </w:t>
      </w:r>
      <w:r>
        <w:rPr>
          <w:highlight w:val="none"/>
        </w:rPr>
        <w:t xml:space="preserve">«20» июля 2026г. 17 ч. 00 мин. (по местному времени Продавца / Организатора продажи)</w:t>
      </w:r>
      <w:r>
        <w:rPr>
          <w:rFonts w:eastAsia="Lucida Sans Unicode"/>
          <w:bCs/>
          <w:i/>
          <w:highlight w:val="none"/>
          <w:shd w:val="clear" w:color="auto" w:fill="ffff99"/>
        </w:rPr>
      </w:r>
      <w:r>
        <w:rPr>
          <w:rFonts w:eastAsia="Lucida Sans Unicode"/>
          <w:bCs/>
          <w:i/>
          <w:highlight w:val="none"/>
          <w:shd w:val="clear" w:color="auto" w:fill="ffff99"/>
        </w:rPr>
      </w:r>
    </w:p>
    <w:p>
      <w:pPr>
        <w:ind w:firstLine="540"/>
        <w:rPr>
          <w:rFonts w:eastAsia="Lucida Sans Unicode"/>
          <w:bCs/>
          <w:i/>
          <w:highlight w:val="none"/>
        </w:rPr>
      </w:pPr>
      <w:r>
        <w:rPr>
          <w:b/>
          <w:i/>
          <w:highlight w:val="none"/>
        </w:rPr>
        <w:t xml:space="preserve">Дата окончания рассмотрения Заявок</w:t>
      </w:r>
      <w:r>
        <w:rPr>
          <w:i/>
          <w:highlight w:val="none"/>
        </w:rPr>
        <w:t xml:space="preserve">: </w:t>
      </w:r>
      <w:r>
        <w:rPr>
          <w:highlight w:val="none"/>
        </w:rPr>
        <w:t xml:space="preserve">«23</w:t>
      </w:r>
      <w:r>
        <w:rPr>
          <w:highlight w:val="none"/>
        </w:rPr>
        <w:t xml:space="preserve">» июля 2026г.</w:t>
      </w:r>
      <w:r>
        <w:rPr>
          <w:rFonts w:eastAsia="Lucida Sans Unicode"/>
          <w:bCs/>
          <w:i/>
          <w:highlight w:val="none"/>
        </w:rPr>
      </w:r>
      <w:r>
        <w:rPr>
          <w:rFonts w:eastAsia="Lucida Sans Unicode"/>
          <w:bCs/>
          <w:i/>
          <w:highlight w:val="none"/>
        </w:rPr>
      </w:r>
    </w:p>
    <w:p>
      <w:pPr>
        <w:ind w:firstLine="540"/>
        <w:rPr>
          <w:rFonts w:eastAsia="Lucida Sans Unicode"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Дата и время проведения Аукциона:</w:t>
      </w:r>
      <w:r>
        <w:rPr>
          <w:highlight w:val="none"/>
        </w:rPr>
        <w:t xml:space="preserve"> «27» июля 2026 г. 17 ч. 00 мин. (по местному времени Продавца / Организатора продажи).</w:t>
      </w:r>
      <w:r>
        <w:rPr>
          <w:rFonts w:eastAsia="Lucida Sans Unicode"/>
          <w:i/>
          <w:highlight w:val="none"/>
          <w:shd w:val="clear" w:color="auto" w:fill="ffff99"/>
        </w:rPr>
      </w:r>
      <w:r>
        <w:rPr>
          <w:rFonts w:eastAsia="Lucida Sans Unicode"/>
          <w:i/>
          <w:highlight w:val="none"/>
          <w:shd w:val="clear" w:color="auto" w:fill="ffff99"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Время ожидания ценового предложения Участника:</w:t>
      </w:r>
      <w:r>
        <w:rPr>
          <w:highlight w:val="none"/>
        </w:rPr>
        <w:t xml:space="preserve"> 30 (тридцать) минут от времени начала проведения аукциона.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rFonts w:eastAsia="Lucida Sans Unicode"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Дата и время подведения итогов Аукциона:</w:t>
      </w:r>
      <w:r>
        <w:rPr>
          <w:highlight w:val="none"/>
        </w:rPr>
        <w:t xml:space="preserve"> «28» июля 2026 г. в 17 ч. 00 мин (по местному времени Продавца/ Организатора).</w:t>
      </w:r>
      <w:r>
        <w:rPr>
          <w:rFonts w:eastAsia="Lucida Sans Unicode"/>
          <w:i/>
          <w:highlight w:val="none"/>
          <w:shd w:val="clear" w:color="auto" w:fill="ffff99"/>
        </w:rPr>
      </w:r>
      <w:r>
        <w:rPr>
          <w:rFonts w:eastAsia="Lucida Sans Unicode"/>
          <w:i/>
          <w:highlight w:val="none"/>
          <w:shd w:val="clear" w:color="auto" w:fill="ffff99"/>
        </w:rPr>
      </w:r>
    </w:p>
    <w:p>
      <w:pPr>
        <w:ind w:firstLine="540"/>
        <w:rPr>
          <w:rFonts w:eastAsia="Lucida Sans Unicode"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Место подведения итогов: </w:t>
      </w:r>
      <w:r>
        <w:rPr>
          <w:highlight w:val="none"/>
        </w:rPr>
        <w:t xml:space="preserve">по адресу Продавца (Организатора продажи).</w:t>
      </w:r>
      <w:r>
        <w:rPr>
          <w:rFonts w:eastAsia="Lucida Sans Unicode"/>
          <w:i/>
          <w:highlight w:val="none"/>
          <w:shd w:val="clear" w:color="auto" w:fill="ffff99"/>
        </w:rPr>
      </w:r>
      <w:r>
        <w:rPr>
          <w:rFonts w:eastAsia="Lucida Sans Unicode"/>
          <w:i/>
          <w:highlight w:val="none"/>
          <w:shd w:val="clear" w:color="auto" w:fill="ffff99"/>
        </w:rPr>
      </w:r>
    </w:p>
    <w:p>
      <w:pPr>
        <w:pStyle w:val="865"/>
        <w:ind w:firstLine="630"/>
        <w:widowControl w:val="off"/>
        <w:rPr>
          <w:bCs/>
          <w:i/>
          <w:sz w:val="26"/>
          <w:szCs w:val="26"/>
          <w:highlight w:val="none"/>
        </w:rPr>
      </w:pPr>
      <w:r>
        <w:rPr>
          <w:i/>
          <w:sz w:val="26"/>
          <w:szCs w:val="26"/>
          <w:highlight w:val="none"/>
        </w:rPr>
        <w:t xml:space="preserve">Наименование и адрес электронной торговой площадки для подачи Заяв</w:t>
      </w:r>
      <w:r>
        <w:rPr>
          <w:i/>
          <w:sz w:val="26"/>
          <w:szCs w:val="26"/>
          <w:highlight w:val="none"/>
        </w:rPr>
        <w:t xml:space="preserve">ок:</w:t>
      </w:r>
      <w:r>
        <w:rPr>
          <w:sz w:val="26"/>
          <w:szCs w:val="26"/>
          <w:highlight w:val="none"/>
        </w:rPr>
        <w:t xml:space="preserve"> </w:t>
      </w:r>
      <w:r>
        <w:rPr>
          <w:b w:val="0"/>
          <w:sz w:val="26"/>
          <w:szCs w:val="26"/>
          <w:highlight w:val="none"/>
        </w:rPr>
        <w:t xml:space="preserve">Российский аукционный дом (ЭТП </w:t>
      </w:r>
      <w:r>
        <w:rPr>
          <w:b w:val="0"/>
          <w:sz w:val="26"/>
          <w:szCs w:val="26"/>
          <w:highlight w:val="none"/>
        </w:rPr>
        <w:t xml:space="preserve">РАД</w:t>
      </w:r>
      <w:r>
        <w:rPr>
          <w:b w:val="0"/>
          <w:sz w:val="26"/>
          <w:szCs w:val="26"/>
          <w:highlight w:val="none"/>
        </w:rPr>
        <w:t xml:space="preserve">),</w:t>
      </w:r>
      <w:r>
        <w:rPr>
          <w:sz w:val="26"/>
          <w:szCs w:val="26"/>
          <w:highlight w:val="none"/>
        </w:rPr>
        <w:t xml:space="preserve"> </w:t>
      </w:r>
      <w:r>
        <w:rPr>
          <w:b w:val="0"/>
          <w:sz w:val="26"/>
          <w:szCs w:val="26"/>
          <w:highlight w:val="none"/>
        </w:rPr>
        <w:fldChar w:fldCharType="begin"/>
      </w:r>
      <w:r>
        <w:rPr>
          <w:b w:val="0"/>
          <w:sz w:val="26"/>
          <w:szCs w:val="26"/>
          <w:highlight w:val="none"/>
        </w:rPr>
        <w:instrText xml:space="preserve"> HYPERLINK "https://lot-online.ru" </w:instrText>
      </w:r>
      <w:r>
        <w:rPr>
          <w:b w:val="0"/>
          <w:sz w:val="26"/>
          <w:szCs w:val="26"/>
          <w:highlight w:val="none"/>
        </w:rPr>
        <w:fldChar w:fldCharType="separate"/>
      </w:r>
      <w:r>
        <w:rPr>
          <w:rStyle w:val="851"/>
          <w:b w:val="0"/>
          <w:sz w:val="26"/>
          <w:szCs w:val="26"/>
          <w:highlight w:val="none"/>
        </w:rPr>
        <w:t xml:space="preserve">https://lot-online.ru</w:t>
      </w:r>
      <w:r>
        <w:rPr>
          <w:b w:val="0"/>
          <w:sz w:val="26"/>
          <w:szCs w:val="26"/>
          <w:highlight w:val="none"/>
        </w:rPr>
        <w:fldChar w:fldCharType="end"/>
      </w:r>
      <w:r>
        <w:rPr>
          <w:sz w:val="26"/>
          <w:szCs w:val="26"/>
          <w:highlight w:val="none"/>
        </w:rPr>
        <w:t xml:space="preserve"> </w:t>
      </w:r>
      <w:r>
        <w:rPr>
          <w:bCs/>
          <w:i/>
          <w:sz w:val="26"/>
          <w:szCs w:val="26"/>
          <w:highlight w:val="none"/>
        </w:rPr>
      </w:r>
      <w:r>
        <w:rPr>
          <w:bCs/>
          <w:i/>
          <w:sz w:val="26"/>
          <w:szCs w:val="26"/>
          <w:highlight w:val="none"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П</w:t>
      </w:r>
      <w:r>
        <w:rPr>
          <w:b/>
          <w:i/>
          <w:highlight w:val="none"/>
        </w:rPr>
        <w:t xml:space="preserve">орядок и форма подачи Заявок:</w:t>
      </w:r>
      <w:r>
        <w:rPr>
          <w:highlight w:val="none"/>
        </w:rPr>
        <w:t xml:space="preserve"> информация приведена в Документации о продаже.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Участники Аукциона</w:t>
      </w:r>
      <w:r>
        <w:rPr>
          <w:highlight w:val="none"/>
        </w:rPr>
        <w:t xml:space="preserve">: участвовать в аукционе может любое юридическое лицо независимо от организационно-правовой формы, формы собственности</w:t>
      </w:r>
      <w:r>
        <w:rPr>
          <w:highlight w:val="none"/>
        </w:rPr>
        <w:t xml:space="preserve">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highlight w:val="none"/>
        </w:rPr>
        <w:t xml:space="preserve">чья заявка признана соответствующей требованиям Документации о продаже.</w:t>
      </w:r>
      <w:r>
        <w:rPr>
          <w:highlight w:val="none"/>
        </w:rPr>
      </w:r>
      <w:r>
        <w:rPr>
          <w:highlight w:val="none"/>
        </w:rPr>
      </w:r>
    </w:p>
    <w:p>
      <w:pPr>
        <w:pStyle w:val="865"/>
        <w:ind w:firstLine="540"/>
        <w:widowControl w:val="off"/>
        <w:rPr>
          <w:b w:val="0"/>
          <w:sz w:val="26"/>
          <w:szCs w:val="26"/>
          <w:highlight w:val="none"/>
        </w:rPr>
      </w:pPr>
      <w:r>
        <w:rPr>
          <w:i/>
          <w:sz w:val="26"/>
          <w:szCs w:val="26"/>
          <w:highlight w:val="none"/>
        </w:rPr>
        <w:t xml:space="preserve">Порядок подведения итогов Аукциона:</w:t>
      </w:r>
      <w:r>
        <w:rPr>
          <w:highlight w:val="none"/>
        </w:rPr>
        <w:t xml:space="preserve"> </w:t>
      </w:r>
      <w:r>
        <w:rPr>
          <w:b w:val="0"/>
          <w:sz w:val="26"/>
          <w:szCs w:val="26"/>
          <w:highlight w:val="none"/>
        </w:rPr>
        <w:t xml:space="preserve"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</w:t>
      </w:r>
      <w:r>
        <w:rPr>
          <w:b w:val="0"/>
          <w:sz w:val="26"/>
          <w:szCs w:val="26"/>
          <w:highlight w:val="none"/>
        </w:rPr>
        <w:t xml:space="preserve"> высокую цену Договора.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65"/>
        <w:ind w:firstLine="63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65"/>
        <w:ind w:firstLine="630"/>
        <w:widowControl w:val="off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65"/>
        <w:ind w:firstLine="630"/>
        <w:widowControl w:val="off"/>
        <w:rPr>
          <w:b w:val="0"/>
          <w:sz w:val="26"/>
          <w:szCs w:val="26"/>
          <w:highlight w:val="none"/>
        </w:rPr>
      </w:pPr>
      <w:r>
        <w:rPr>
          <w:sz w:val="26"/>
          <w:szCs w:val="26"/>
          <w:highlight w:val="none"/>
          <w:u w:val="single"/>
        </w:rPr>
        <w:t xml:space="preserve">Документац</w:t>
      </w:r>
      <w:r>
        <w:rPr>
          <w:sz w:val="26"/>
          <w:szCs w:val="26"/>
          <w:highlight w:val="none"/>
          <w:u w:val="single"/>
        </w:rPr>
        <w:t xml:space="preserve">ия о продаже официально опубликована на сайте электронной торговой площадки в сети «Интернет»: </w:t>
      </w:r>
      <w:r>
        <w:rPr>
          <w:sz w:val="26"/>
          <w:szCs w:val="26"/>
          <w:highlight w:val="none"/>
        </w:rPr>
        <w:t xml:space="preserve">Российский аукционный дом (ЭТП РАД), </w:t>
      </w:r>
      <w:hyperlink r:id="rId10" w:tooltip="http://www._________.ru/" w:history="1">
        <w:r>
          <w:rPr>
            <w:rStyle w:val="851"/>
            <w:sz w:val="26"/>
            <w:szCs w:val="26"/>
            <w:highlight w:val="none"/>
          </w:rPr>
          <w:t xml:space="preserve">https://lot-online.ru/</w:t>
        </w:r>
      </w:hyperlink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990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egoe UI">
    <w:panose1 w:val="020B0503020204020204"/>
  </w:font>
  <w:font w:name="Geneva">
    <w:panose1 w:val="02000603000000000000"/>
  </w:font>
  <w:font w:name="Geneva CY">
    <w:panose1 w:val="02000603000000000000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67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pStyle w:val="675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pStyle w:val="861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pStyle w:val="862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pStyle w:val="863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856"/>
    <w:uiPriority w:val="10"/>
    <w:rPr>
      <w:sz w:val="48"/>
      <w:szCs w:val="48"/>
    </w:rPr>
  </w:style>
  <w:style w:type="character" w:styleId="666">
    <w:name w:val="Subtitle Char"/>
    <w:basedOn w:val="683"/>
    <w:link w:val="697"/>
    <w:uiPriority w:val="11"/>
    <w:rPr>
      <w:sz w:val="24"/>
      <w:szCs w:val="24"/>
    </w:rPr>
  </w:style>
  <w:style w:type="character" w:styleId="667">
    <w:name w:val="Quote Char"/>
    <w:link w:val="699"/>
    <w:uiPriority w:val="29"/>
    <w:rPr>
      <w:i/>
    </w:rPr>
  </w:style>
  <w:style w:type="character" w:styleId="668">
    <w:name w:val="Intense Quote Char"/>
    <w:link w:val="701"/>
    <w:uiPriority w:val="30"/>
    <w:rPr>
      <w:i/>
    </w:rPr>
  </w:style>
  <w:style w:type="character" w:styleId="669">
    <w:name w:val="Header Char"/>
    <w:basedOn w:val="683"/>
    <w:link w:val="703"/>
    <w:uiPriority w:val="99"/>
  </w:style>
  <w:style w:type="character" w:styleId="670">
    <w:name w:val="Footer Char"/>
    <w:basedOn w:val="683"/>
    <w:link w:val="705"/>
    <w:uiPriority w:val="99"/>
  </w:style>
  <w:style w:type="character" w:styleId="671">
    <w:name w:val="Caption Char"/>
    <w:basedOn w:val="683"/>
    <w:link w:val="859"/>
    <w:uiPriority w:val="35"/>
    <w:rPr>
      <w:b/>
      <w:bCs/>
      <w:color w:val="4f81bd" w:themeColor="accent1"/>
      <w:sz w:val="18"/>
      <w:szCs w:val="18"/>
    </w:rPr>
  </w:style>
  <w:style w:type="character" w:styleId="672">
    <w:name w:val="Endnote Text Char"/>
    <w:link w:val="835"/>
    <w:uiPriority w:val="99"/>
    <w:rPr>
      <w:sz w:val="20"/>
    </w:rPr>
  </w:style>
  <w:style w:type="paragraph" w:styleId="673" w:default="1">
    <w:name w:val="Normal"/>
    <w:qFormat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674">
    <w:name w:val="Heading 1"/>
    <w:basedOn w:val="673"/>
    <w:next w:val="673"/>
    <w:link w:val="849"/>
    <w:qFormat/>
    <w:pPr>
      <w:numPr>
        <w:ilvl w:val="0"/>
        <w:numId w:val="2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675">
    <w:name w:val="Heading 2"/>
    <w:basedOn w:val="673"/>
    <w:next w:val="673"/>
    <w:link w:val="850"/>
    <w:qFormat/>
    <w:pPr>
      <w:numPr>
        <w:ilvl w:val="1"/>
        <w:numId w:val="2"/>
      </w:numPr>
      <w:jc w:val="left"/>
      <w:keepNext/>
      <w:spacing w:before="360" w:after="120"/>
      <w:outlineLvl w:val="1"/>
    </w:pPr>
    <w:rPr>
      <w:b/>
      <w:sz w:val="32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</w:style>
  <w:style w:type="character" w:styleId="696" w:customStyle="1">
    <w:name w:val="Заголовок Знак"/>
    <w:basedOn w:val="683"/>
    <w:link w:val="856"/>
    <w:uiPriority w:val="10"/>
    <w:rPr>
      <w:sz w:val="48"/>
      <w:szCs w:val="48"/>
    </w:rPr>
  </w:style>
  <w:style w:type="paragraph" w:styleId="697">
    <w:name w:val="Subtitle"/>
    <w:basedOn w:val="673"/>
    <w:next w:val="67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3"/>
    <w:link w:val="697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3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3"/>
    <w:link w:val="703"/>
    <w:uiPriority w:val="99"/>
  </w:style>
  <w:style w:type="paragraph" w:styleId="705">
    <w:name w:val="Footer"/>
    <w:basedOn w:val="673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3"/>
    <w:link w:val="705"/>
    <w:uiPriority w:val="99"/>
  </w:style>
  <w:style w:type="character" w:styleId="707" w:customStyle="1">
    <w:name w:val="Название объекта Знак"/>
    <w:basedOn w:val="683"/>
    <w:link w:val="859"/>
    <w:uiPriority w:val="35"/>
    <w:rPr>
      <w:b/>
      <w:bCs/>
      <w:color w:val="5b9bd5" w:themeColor="accent1"/>
      <w:sz w:val="18"/>
      <w:szCs w:val="18"/>
    </w:rPr>
  </w:style>
  <w:style w:type="table" w:styleId="708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 w:customStyle="1">
    <w:name w:val="Footnote Text Char"/>
    <w:uiPriority w:val="99"/>
    <w:rPr>
      <w:sz w:val="18"/>
    </w:rPr>
  </w:style>
  <w:style w:type="paragraph" w:styleId="835">
    <w:name w:val="endnote text"/>
    <w:basedOn w:val="673"/>
    <w:link w:val="836"/>
    <w:uiPriority w:val="99"/>
    <w:semiHidden/>
    <w:unhideWhenUsed/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basedOn w:val="683"/>
    <w:uiPriority w:val="99"/>
    <w:semiHidden/>
    <w:unhideWhenUsed/>
    <w:rPr>
      <w:vertAlign w:val="superscript"/>
    </w:rPr>
  </w:style>
  <w:style w:type="paragraph" w:styleId="838">
    <w:name w:val="toc 1"/>
    <w:basedOn w:val="673"/>
    <w:next w:val="673"/>
    <w:uiPriority w:val="39"/>
    <w:unhideWhenUsed/>
    <w:pPr>
      <w:spacing w:after="57"/>
    </w:pPr>
  </w:style>
  <w:style w:type="paragraph" w:styleId="839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0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1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2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3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4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5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6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73"/>
    <w:next w:val="673"/>
    <w:uiPriority w:val="99"/>
    <w:unhideWhenUsed/>
  </w:style>
  <w:style w:type="character" w:styleId="849" w:customStyle="1">
    <w:name w:val="Заголовок 1 Знак"/>
    <w:basedOn w:val="683"/>
    <w:link w:val="674"/>
    <w:qFormat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850" w:customStyle="1">
    <w:name w:val="Заголовок 2 Знак"/>
    <w:basedOn w:val="683"/>
    <w:link w:val="675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851">
    <w:name w:val="Hyperlink"/>
    <w:uiPriority w:val="99"/>
    <w:rPr>
      <w:color w:val="0000ff"/>
      <w:u w:val="single"/>
    </w:rPr>
  </w:style>
  <w:style w:type="character" w:styleId="852" w:customStyle="1">
    <w:name w:val="комментарий"/>
    <w:qFormat/>
    <w:rPr>
      <w:b/>
      <w:i/>
      <w:shd w:val="clear" w:color="auto" w:fill="ffff99"/>
    </w:rPr>
  </w:style>
  <w:style w:type="character" w:styleId="853" w:customStyle="1">
    <w:name w:val="Текст сноски Знак"/>
    <w:basedOn w:val="683"/>
    <w:link w:val="867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4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855">
    <w:name w:val="footnote reference"/>
    <w:rPr>
      <w:vertAlign w:val="superscript"/>
    </w:rPr>
  </w:style>
  <w:style w:type="paragraph" w:styleId="856">
    <w:name w:val="Title"/>
    <w:basedOn w:val="673"/>
    <w:next w:val="857"/>
    <w:link w:val="696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857">
    <w:name w:val="Body Text"/>
    <w:basedOn w:val="673"/>
    <w:pPr>
      <w:spacing w:before="0" w:after="140" w:line="276" w:lineRule="auto"/>
    </w:pPr>
  </w:style>
  <w:style w:type="paragraph" w:styleId="858">
    <w:name w:val="List"/>
    <w:basedOn w:val="857"/>
  </w:style>
  <w:style w:type="paragraph" w:styleId="859">
    <w:name w:val="Caption"/>
    <w:basedOn w:val="673"/>
    <w:link w:val="707"/>
    <w:qFormat/>
    <w:pPr>
      <w:spacing w:after="120"/>
      <w:suppressLineNumbers/>
    </w:pPr>
    <w:rPr>
      <w:i/>
      <w:iCs/>
      <w:sz w:val="24"/>
      <w:szCs w:val="24"/>
    </w:rPr>
  </w:style>
  <w:style w:type="paragraph" w:styleId="860">
    <w:name w:val="index heading"/>
    <w:basedOn w:val="673"/>
    <w:qFormat/>
    <w:pPr>
      <w:suppressLineNumbers/>
    </w:pPr>
  </w:style>
  <w:style w:type="paragraph" w:styleId="861" w:customStyle="1">
    <w:name w:val="Пункт"/>
    <w:basedOn w:val="673"/>
    <w:qFormat/>
    <w:pPr>
      <w:numPr>
        <w:ilvl w:val="2"/>
        <w:numId w:val="2"/>
      </w:numPr>
    </w:pPr>
  </w:style>
  <w:style w:type="paragraph" w:styleId="862" w:customStyle="1">
    <w:name w:val="Подпункт"/>
    <w:basedOn w:val="861"/>
    <w:qFormat/>
    <w:pPr>
      <w:numPr>
        <w:ilvl w:val="3"/>
      </w:numPr>
    </w:pPr>
  </w:style>
  <w:style w:type="paragraph" w:styleId="863" w:customStyle="1">
    <w:name w:val="Подподпункт"/>
    <w:basedOn w:val="862"/>
    <w:qFormat/>
    <w:pPr>
      <w:numPr>
        <w:ilvl w:val="4"/>
      </w:numPr>
    </w:pPr>
  </w:style>
  <w:style w:type="paragraph" w:styleId="864">
    <w:name w:val="List Paragraph"/>
    <w:basedOn w:val="673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865" w:customStyle="1">
    <w:name w:val="Table_header"/>
    <w:basedOn w:val="673"/>
    <w:qFormat/>
    <w:rPr>
      <w:b/>
      <w:sz w:val="20"/>
      <w:szCs w:val="24"/>
    </w:rPr>
  </w:style>
  <w:style w:type="paragraph" w:styleId="866" w:customStyle="1">
    <w:name w:val="Table_text"/>
    <w:basedOn w:val="673"/>
    <w:qFormat/>
    <w:rPr>
      <w:sz w:val="20"/>
      <w:szCs w:val="24"/>
    </w:rPr>
  </w:style>
  <w:style w:type="paragraph" w:styleId="867">
    <w:name w:val="footnote text"/>
    <w:basedOn w:val="673"/>
    <w:link w:val="853"/>
    <w:uiPriority w:val="99"/>
    <w:semiHidden/>
    <w:unhideWhenUsed/>
    <w:pPr>
      <w:spacing w:before="0"/>
    </w:pPr>
    <w:rPr>
      <w:sz w:val="20"/>
      <w:szCs w:val="20"/>
    </w:rPr>
  </w:style>
  <w:style w:type="paragraph" w:styleId="868">
    <w:name w:val="Balloon Text"/>
    <w:basedOn w:val="673"/>
    <w:link w:val="869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683"/>
    <w:link w:val="86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onovalova-la@dgk.ru" TargetMode="External"/><Relationship Id="rId10" Type="http://schemas.openxmlformats.org/officeDocument/2006/relationships/hyperlink" Target="http://www._________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РусГидро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dc:language>ru-RU</dc:language>
  <cp:lastModifiedBy>konovalova_la</cp:lastModifiedBy>
  <cp:revision>37</cp:revision>
  <dcterms:created xsi:type="dcterms:W3CDTF">2025-08-19T09:28:00Z</dcterms:created>
  <dcterms:modified xsi:type="dcterms:W3CDTF">2026-06-04T01:56:25Z</dcterms:modified>
</cp:coreProperties>
</file>