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CA96" w14:textId="77777777" w:rsidR="00BD2CB5" w:rsidRDefault="005C77BC" w:rsidP="00BD2CB5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r w:rsidR="00BD2CB5" w:rsidRPr="00DC1506">
        <w:rPr>
          <w:b/>
          <w:bCs/>
        </w:rPr>
        <w:t>Иванова Алексея Александровича</w:t>
      </w:r>
      <w:bookmarkStart w:id="0" w:name="_Hlk188626719"/>
      <w:bookmarkStart w:id="1" w:name="_Hlk188616708"/>
      <w:r w:rsidR="00BD2CB5" w:rsidRPr="00761EA0">
        <w:t xml:space="preserve">, </w:t>
      </w:r>
      <w:bookmarkStart w:id="2" w:name="_Hlk183700510"/>
      <w:r w:rsidR="00BD2CB5">
        <w:t xml:space="preserve"> </w:t>
      </w:r>
      <w:r w:rsidR="00BD2CB5" w:rsidRPr="00761EA0">
        <w:t>ИНН: 252002501444, СНИЛС: 045-647-209 65</w:t>
      </w:r>
      <w:bookmarkEnd w:id="0"/>
      <w:bookmarkEnd w:id="1"/>
      <w:bookmarkEnd w:id="2"/>
      <w:r w:rsidR="00BD2CB5">
        <w:t xml:space="preserve">, </w:t>
      </w:r>
      <w:r w:rsidR="00BD2CB5" w:rsidRPr="00761EA0">
        <w:t>дата смерти: 25.04.2023</w:t>
      </w:r>
      <w:r w:rsidR="00BD2CB5" w:rsidRPr="008C6FB0">
        <w:t>, именуемый в дальнейшем «До</w:t>
      </w:r>
      <w:r w:rsidR="00BD2CB5">
        <w:t>лжник</w:t>
      </w:r>
      <w:r w:rsidR="00BD2CB5" w:rsidRPr="008C6FB0">
        <w:t xml:space="preserve">», </w:t>
      </w:r>
      <w:r w:rsidR="00BD2CB5" w:rsidRPr="008C6FB0">
        <w:rPr>
          <w:b/>
          <w:bCs/>
        </w:rPr>
        <w:t>в лице финансового управляющего</w:t>
      </w:r>
      <w:r w:rsidR="00BD2CB5">
        <w:rPr>
          <w:b/>
          <w:bCs/>
        </w:rPr>
        <w:t xml:space="preserve"> </w:t>
      </w:r>
      <w:bookmarkStart w:id="3" w:name="_Hlk188622540"/>
      <w:proofErr w:type="spellStart"/>
      <w:r w:rsidR="00BD2CB5" w:rsidRPr="00761EA0">
        <w:t>Прасков</w:t>
      </w:r>
      <w:r w:rsidR="00BD2CB5">
        <w:t>ой</w:t>
      </w:r>
      <w:proofErr w:type="spellEnd"/>
      <w:r w:rsidR="00BD2CB5" w:rsidRPr="00761EA0">
        <w:t xml:space="preserve"> Елен</w:t>
      </w:r>
      <w:r w:rsidR="00BD2CB5">
        <w:t>ы</w:t>
      </w:r>
      <w:r w:rsidR="00BD2CB5" w:rsidRPr="00761EA0">
        <w:t xml:space="preserve"> Владимировн</w:t>
      </w:r>
      <w:r w:rsidR="00BD2CB5">
        <w:t>ы</w:t>
      </w:r>
      <w:r w:rsidR="00BD2CB5" w:rsidRPr="00761EA0">
        <w:t xml:space="preserve"> (ИНН:</w:t>
      </w:r>
      <w:r w:rsidR="00BD2CB5" w:rsidRPr="00761EA0">
        <w:rPr>
          <w:color w:val="333333"/>
          <w:shd w:val="clear" w:color="auto" w:fill="FFFFFF"/>
        </w:rPr>
        <w:t xml:space="preserve"> </w:t>
      </w:r>
      <w:r w:rsidR="00BD2CB5" w:rsidRPr="00761EA0">
        <w:t>280128584324, СНИЛС:</w:t>
      </w:r>
      <w:r w:rsidR="00BD2CB5" w:rsidRPr="00761EA0">
        <w:rPr>
          <w:color w:val="333333"/>
        </w:rPr>
        <w:t xml:space="preserve"> </w:t>
      </w:r>
      <w:r w:rsidR="00BD2CB5" w:rsidRPr="00761EA0">
        <w:t xml:space="preserve">069-392-751 12, Адрес для корреспонденции: Амурская область, г Благовещенск, ул. </w:t>
      </w:r>
      <w:proofErr w:type="spellStart"/>
      <w:r w:rsidR="00BD2CB5" w:rsidRPr="00761EA0">
        <w:t>Забурхановская</w:t>
      </w:r>
      <w:proofErr w:type="spellEnd"/>
      <w:r w:rsidR="00BD2CB5" w:rsidRPr="00761EA0">
        <w:t xml:space="preserve">, 93, оф. 43, </w:t>
      </w:r>
      <w:proofErr w:type="spellStart"/>
      <w:r w:rsidR="00BD2CB5" w:rsidRPr="00761EA0">
        <w:t>e-mail</w:t>
      </w:r>
      <w:proofErr w:type="spellEnd"/>
      <w:r w:rsidR="00BD2CB5" w:rsidRPr="00761EA0">
        <w:t>:</w:t>
      </w:r>
      <w:r w:rsidR="00BD2CB5" w:rsidRPr="00761EA0">
        <w:rPr>
          <w:color w:val="000000"/>
          <w:sz w:val="19"/>
          <w:szCs w:val="19"/>
        </w:rPr>
        <w:t xml:space="preserve"> </w:t>
      </w:r>
      <w:r w:rsidR="00BD2CB5" w:rsidRPr="00761EA0">
        <w:t>maximus-28ru@yandex.ru, тел</w:t>
      </w:r>
      <w:bookmarkEnd w:id="3"/>
      <w:r w:rsidR="00BD2CB5" w:rsidRPr="00761EA0">
        <w:t>: 89622843210</w:t>
      </w:r>
      <w:r w:rsidR="00BD2CB5">
        <w:t xml:space="preserve"> - </w:t>
      </w:r>
      <w:r w:rsidR="00BD2CB5" w:rsidRPr="00761EA0">
        <w:t>Ассоциация МСРО "Содействие" ИНН 5752030226, ОГРН 1025700780071, Адрес 302004, Орловская область, г. Орел, ул. 3-я Курская, д.15, помещение 6, оф.14)</w:t>
      </w:r>
      <w:r w:rsidR="00BD2CB5" w:rsidRPr="00107D02">
        <w:t xml:space="preserve">, действующего в соответствии с Решением Арбитражного суда </w:t>
      </w:r>
      <w:r w:rsidR="00BD2CB5">
        <w:t>Амурской</w:t>
      </w:r>
      <w:r w:rsidR="00BD2CB5" w:rsidRPr="00107D02">
        <w:t xml:space="preserve"> области по делу </w:t>
      </w:r>
      <w:r w:rsidR="00BD2CB5" w:rsidRPr="00761EA0">
        <w:t>13.06.2024 по делу А04-3478/2024</w:t>
      </w:r>
    </w:p>
    <w:p w14:paraId="746D34BE" w14:textId="1E94CDDC" w:rsidR="005C77BC" w:rsidRDefault="005C77BC" w:rsidP="00BD2CB5">
      <w:pPr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000000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4" w:name="_Hlk147911727"/>
      <w:bookmarkStart w:id="5" w:name="_Hlk518488158"/>
    </w:p>
    <w:p w14:paraId="2F1D1490" w14:textId="77777777" w:rsidR="005C77BC" w:rsidRDefault="005C77BC">
      <w:pPr>
        <w:ind w:firstLine="567"/>
        <w:jc w:val="both"/>
      </w:pPr>
    </w:p>
    <w:bookmarkEnd w:id="4"/>
    <w:p w14:paraId="1989623F" w14:textId="77777777" w:rsidR="00BD2CB5" w:rsidRPr="00DC1506" w:rsidRDefault="00BD2CB5" w:rsidP="00BD2CB5">
      <w:pPr>
        <w:ind w:firstLine="720"/>
        <w:jc w:val="both"/>
        <w:rPr>
          <w:rFonts w:eastAsia="Times New Roman"/>
        </w:rPr>
      </w:pPr>
      <w:r w:rsidRPr="009B7279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>
        <w:rPr>
          <w:rFonts w:eastAsia="Times New Roman"/>
        </w:rPr>
        <w:t>: тел.</w:t>
      </w:r>
      <w:r w:rsidRPr="00F66106">
        <w:rPr>
          <w:rFonts w:eastAsia="Times New Roman"/>
        </w:rPr>
        <w:t xml:space="preserve"> </w:t>
      </w:r>
      <w:r>
        <w:rPr>
          <w:rFonts w:eastAsia="Times New Roman"/>
        </w:rPr>
        <w:t>+</w:t>
      </w:r>
      <w:r w:rsidRPr="00F66106">
        <w:rPr>
          <w:rFonts w:eastAsia="Times New Roman"/>
        </w:rPr>
        <w:t>7</w:t>
      </w:r>
      <w:r>
        <w:rPr>
          <w:rFonts w:eastAsia="Times New Roman"/>
        </w:rPr>
        <w:t>(</w:t>
      </w:r>
      <w:r w:rsidRPr="00F66106">
        <w:rPr>
          <w:rFonts w:eastAsia="Times New Roman"/>
        </w:rPr>
        <w:t>967</w:t>
      </w:r>
      <w:r>
        <w:rPr>
          <w:rFonts w:eastAsia="Times New Roman"/>
        </w:rPr>
        <w:t>)</w:t>
      </w:r>
      <w:r w:rsidRPr="00F66106">
        <w:rPr>
          <w:rFonts w:eastAsia="Times New Roman"/>
        </w:rPr>
        <w:t>-246-44-2</w:t>
      </w:r>
      <w:r>
        <w:rPr>
          <w:rFonts w:eastAsia="Times New Roman"/>
        </w:rPr>
        <w:t>6</w:t>
      </w:r>
      <w:r w:rsidRPr="00F66106">
        <w:rPr>
          <w:rFonts w:eastAsia="Times New Roman"/>
        </w:rPr>
        <w:t xml:space="preserve"> (</w:t>
      </w:r>
      <w:r>
        <w:rPr>
          <w:rFonts w:eastAsia="Times New Roman"/>
        </w:rPr>
        <w:t>+7 МСК</w:t>
      </w:r>
      <w:r w:rsidRPr="00F66106">
        <w:rPr>
          <w:rFonts w:eastAsia="Times New Roman"/>
        </w:rPr>
        <w:t xml:space="preserve">), </w:t>
      </w:r>
      <w:proofErr w:type="spellStart"/>
      <w:proofErr w:type="gramStart"/>
      <w:r w:rsidRPr="00F66106">
        <w:rPr>
          <w:rFonts w:eastAsia="Times New Roman"/>
        </w:rPr>
        <w:t>эл.почта</w:t>
      </w:r>
      <w:proofErr w:type="spellEnd"/>
      <w:proofErr w:type="gramEnd"/>
      <w:r w:rsidRPr="00F66106">
        <w:rPr>
          <w:rFonts w:eastAsia="Times New Roman"/>
        </w:rPr>
        <w:t xml:space="preserve">: </w:t>
      </w:r>
      <w:hyperlink r:id="rId8" w:history="1">
        <w:r w:rsidRPr="00D62296">
          <w:rPr>
            <w:rStyle w:val="af0"/>
            <w:rFonts w:eastAsia="Times New Roman"/>
            <w:lang w:val="en-US"/>
          </w:rPr>
          <w:t>dv</w:t>
        </w:r>
        <w:r w:rsidRPr="00D62296">
          <w:rPr>
            <w:rStyle w:val="af0"/>
            <w:rFonts w:eastAsia="Times New Roman"/>
          </w:rPr>
          <w:t>@auction-house.ru</w:t>
        </w:r>
      </w:hyperlink>
      <w:r>
        <w:rPr>
          <w:rFonts w:eastAsia="Times New Roman"/>
        </w:rPr>
        <w:t xml:space="preserve"> – Макаренко Кристина.</w:t>
      </w:r>
    </w:p>
    <w:p w14:paraId="468AB9B8" w14:textId="77777777" w:rsidR="00BD2CB5" w:rsidRDefault="00BD2CB5" w:rsidP="00BD2CB5">
      <w:pPr>
        <w:ind w:firstLine="720"/>
        <w:jc w:val="both"/>
        <w:rPr>
          <w:rFonts w:eastAsia="Times New Roman"/>
        </w:rPr>
      </w:pPr>
      <w:r w:rsidRPr="009B7279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</w:t>
      </w:r>
    </w:p>
    <w:p w14:paraId="53038F79" w14:textId="77777777" w:rsidR="00BD2CB5" w:rsidRPr="002A3290" w:rsidRDefault="00BD2CB5" w:rsidP="00BD2CB5">
      <w:pPr>
        <w:ind w:firstLine="720"/>
        <w:jc w:val="both"/>
      </w:pPr>
      <w:r>
        <w:t>А</w:t>
      </w:r>
      <w:r w:rsidRPr="005359EB">
        <w:t>втомобиль</w:t>
      </w:r>
      <w:r>
        <w:t xml:space="preserve"> расположен по адресу: </w:t>
      </w:r>
      <w:r w:rsidRPr="00DC1506">
        <w:t>Амурская область, г. Свободный, пер. Юбилейный, 36</w:t>
      </w:r>
    </w:p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5"/>
    <w:p w14:paraId="2CE06F9E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29E5D13F" w14:textId="77777777" w:rsidR="00BD2CB5" w:rsidRPr="00761EA0" w:rsidRDefault="005C77BC" w:rsidP="00BD2CB5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tab/>
      </w:r>
      <w:r w:rsidR="00BD2CB5" w:rsidRPr="00761EA0">
        <w:rPr>
          <w:rFonts w:eastAsia="Times New Roman"/>
          <w:b/>
          <w:bCs/>
        </w:rPr>
        <w:t>-</w:t>
      </w:r>
      <w:r w:rsidR="00BD2CB5" w:rsidRPr="00761EA0">
        <w:rPr>
          <w:rFonts w:eastAsia="Times New Roman"/>
        </w:rPr>
        <w:t xml:space="preserve">Автомобиль, марка/модель ТС: HONDA FIT, 2011 года, Цвет: белый, Кузов № </w:t>
      </w:r>
      <w:r w:rsidR="00BD2CB5" w:rsidRPr="00761EA0">
        <w:rPr>
          <w:rFonts w:eastAsia="Times New Roman"/>
          <w:lang w:val="en-US"/>
        </w:rPr>
        <w:t>GE</w:t>
      </w:r>
      <w:r w:rsidR="00BD2CB5" w:rsidRPr="00761EA0">
        <w:rPr>
          <w:rFonts w:eastAsia="Times New Roman"/>
        </w:rPr>
        <w:t>6-1531486, идентификационный номер (VIN), отсутствует, Шасси (рама) № Отсутствует.</w:t>
      </w:r>
    </w:p>
    <w:p w14:paraId="70992B96" w14:textId="77777777" w:rsidR="00BD2CB5" w:rsidRPr="00761EA0" w:rsidRDefault="00BD2CB5" w:rsidP="00BD2CB5">
      <w:pPr>
        <w:tabs>
          <w:tab w:val="left" w:pos="851"/>
        </w:tabs>
        <w:jc w:val="both"/>
      </w:pPr>
      <w:r w:rsidRPr="00761EA0">
        <w:rPr>
          <w:b/>
          <w:bCs/>
        </w:rPr>
        <w:t>Ограничения/обременения</w:t>
      </w:r>
      <w:r w:rsidRPr="00761EA0">
        <w:t xml:space="preserve">: </w:t>
      </w:r>
    </w:p>
    <w:p w14:paraId="497C9DA0" w14:textId="147D5814" w:rsidR="00BD2CB5" w:rsidRPr="003B7F10" w:rsidRDefault="00BD2CB5" w:rsidP="00BD2CB5">
      <w:pPr>
        <w:tabs>
          <w:tab w:val="left" w:pos="851"/>
        </w:tabs>
        <w:jc w:val="both"/>
      </w:pPr>
      <w:r w:rsidRPr="00761EA0">
        <w:tab/>
        <w:t>-Вид ограничения: Запрет на регистрационные действия, дата наложения ограничения: 17.11.2023 г., основание: А 1097/23 определение Михайловского районного суда ПК от 31.10.2023, кем наложено ограничение: Судебные органы.</w:t>
      </w:r>
    </w:p>
    <w:p w14:paraId="7032A5FB" w14:textId="4CB7E162" w:rsidR="005C77BC" w:rsidRDefault="005C77BC" w:rsidP="00BD2CB5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176B216D" w14:textId="77AF984E" w:rsidR="00F6520E" w:rsidRDefault="00000000">
      <w:pPr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595D2F">
        <w:rPr>
          <w:b/>
          <w:bCs/>
          <w:color w:val="0070C0"/>
        </w:rPr>
        <w:t>56 678</w:t>
      </w:r>
      <w:r>
        <w:rPr>
          <w:color w:val="0070C0"/>
        </w:rPr>
        <w:t xml:space="preserve"> </w:t>
      </w:r>
      <w:r>
        <w:rPr>
          <w:color w:val="000000"/>
        </w:rPr>
        <w:t>(</w:t>
      </w:r>
      <w:r w:rsidR="00595D2F">
        <w:rPr>
          <w:color w:val="000000"/>
        </w:rPr>
        <w:t>Пятьдесят шесть тысяч шестьсот семьдесят восемь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03EE08ED" w14:textId="16D1DF5F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595D2F">
        <w:rPr>
          <w:b/>
          <w:bCs/>
          <w:color w:val="0070C0"/>
        </w:rPr>
        <w:t>22 671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595D2F">
        <w:rPr>
          <w:lang w:eastAsia="en-US"/>
        </w:rPr>
        <w:t>Двадцать две тысячи шестьсот семьдесят один</w:t>
      </w:r>
      <w:r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 xml:space="preserve">руб. </w:t>
      </w:r>
      <w:r w:rsidR="00595D2F">
        <w:rPr>
          <w:b/>
          <w:bCs/>
          <w:color w:val="0070C0"/>
        </w:rPr>
        <w:t>20</w:t>
      </w:r>
      <w:r>
        <w:rPr>
          <w:b/>
          <w:bCs/>
          <w:color w:val="0070C0"/>
        </w:rPr>
        <w:t xml:space="preserve">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5F2123A1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Шаг на понижение: </w:t>
      </w:r>
      <w:r w:rsidR="00595D2F">
        <w:rPr>
          <w:b/>
          <w:bCs/>
          <w:color w:val="0070C0"/>
          <w:lang w:eastAsia="en-US"/>
        </w:rPr>
        <w:t>5 667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595D2F">
        <w:rPr>
          <w:lang w:eastAsia="en-US"/>
        </w:rPr>
        <w:t>Пять тысяч шестьсот шестьдесят семь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 xml:space="preserve">руб. </w:t>
      </w:r>
      <w:r w:rsidR="00595D2F">
        <w:rPr>
          <w:b/>
          <w:bCs/>
          <w:color w:val="0070C0"/>
          <w:lang w:eastAsia="en-US"/>
        </w:rPr>
        <w:t>8</w:t>
      </w:r>
      <w:r>
        <w:rPr>
          <w:b/>
          <w:bCs/>
          <w:color w:val="0070C0"/>
          <w:lang w:eastAsia="en-US"/>
        </w:rPr>
        <w:t>0 коп</w:t>
      </w:r>
      <w:r>
        <w:rPr>
          <w:lang w:eastAsia="en-US"/>
        </w:rPr>
        <w:t>.</w:t>
      </w:r>
    </w:p>
    <w:p w14:paraId="29D8E162" w14:textId="2A2BA82D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924619">
        <w:rPr>
          <w:b/>
          <w:bCs/>
          <w:lang w:eastAsia="en-US"/>
        </w:rPr>
        <w:t>5</w:t>
      </w:r>
      <w:r>
        <w:rPr>
          <w:b/>
          <w:bCs/>
          <w:lang w:eastAsia="en-US"/>
        </w:rPr>
        <w:t xml:space="preserve"> календарных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:rsidRPr="00434C78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Pr="00434C78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34C78"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Pr="00434C78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34C7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434C78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34C78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434C78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34C78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E986490" w:rsidR="005C77BC" w:rsidRPr="00434C78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434C78">
              <w:rPr>
                <w:rFonts w:eastAsia="Times New Roman"/>
                <w:b/>
                <w:bCs/>
              </w:rPr>
              <w:t xml:space="preserve">Сумма задатка, </w:t>
            </w:r>
            <w:proofErr w:type="spellStart"/>
            <w:r w:rsidRPr="00434C78">
              <w:rPr>
                <w:rFonts w:eastAsia="Times New Roman"/>
                <w:b/>
                <w:bCs/>
              </w:rPr>
              <w:t>руб</w:t>
            </w:r>
            <w:proofErr w:type="spellEnd"/>
          </w:p>
        </w:tc>
      </w:tr>
      <w:tr w:rsidR="00595D2F" w:rsidRPr="00434C78" w14:paraId="64D65AC2" w14:textId="77777777" w:rsidTr="00841786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5E771ABC" w:rsidR="00595D2F" w:rsidRPr="00434C78" w:rsidRDefault="00924619" w:rsidP="00595D2F">
            <w:pPr>
              <w:jc w:val="center"/>
            </w:pPr>
            <w:r w:rsidRPr="00434C78">
              <w:t>02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1310A02B" w:rsidR="00595D2F" w:rsidRPr="00434C78" w:rsidRDefault="00924619" w:rsidP="00595D2F">
            <w:pPr>
              <w:jc w:val="center"/>
            </w:pPr>
            <w:r w:rsidRPr="00434C78">
              <w:t>07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35F4FBDB" w14:textId="437F8010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56 678,00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26EE005" w14:textId="54DE8D3E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0,00 ₽</w:t>
            </w:r>
          </w:p>
        </w:tc>
        <w:tc>
          <w:tcPr>
            <w:tcW w:w="1960" w:type="dxa"/>
            <w:noWrap/>
            <w:vAlign w:val="center"/>
          </w:tcPr>
          <w:p w14:paraId="4294E307" w14:textId="60EE97F6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5 667,80 ₽</w:t>
            </w:r>
          </w:p>
        </w:tc>
      </w:tr>
      <w:tr w:rsidR="00595D2F" w:rsidRPr="00434C78" w14:paraId="78B58168" w14:textId="77777777" w:rsidTr="00841786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0DE13891" w:rsidR="00595D2F" w:rsidRPr="00434C78" w:rsidRDefault="00924619" w:rsidP="00595D2F">
            <w:pPr>
              <w:jc w:val="center"/>
              <w:rPr>
                <w:lang w:val="en-US"/>
              </w:rPr>
            </w:pPr>
            <w:r w:rsidRPr="00434C78">
              <w:t>07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74907EAA" w:rsidR="00595D2F" w:rsidRPr="00434C78" w:rsidRDefault="00924619" w:rsidP="00595D2F">
            <w:pPr>
              <w:jc w:val="center"/>
            </w:pPr>
            <w:r w:rsidRPr="00434C78">
              <w:t>12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200" w:type="dxa"/>
            <w:noWrap/>
            <w:vAlign w:val="center"/>
          </w:tcPr>
          <w:p w14:paraId="63A8A76A" w14:textId="4ABB6348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51 010,20 ₽</w:t>
            </w:r>
          </w:p>
        </w:tc>
        <w:tc>
          <w:tcPr>
            <w:tcW w:w="2180" w:type="dxa"/>
            <w:noWrap/>
            <w:vAlign w:val="center"/>
          </w:tcPr>
          <w:p w14:paraId="582B87CA" w14:textId="597D5FED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5 667,80 ₽</w:t>
            </w:r>
          </w:p>
        </w:tc>
        <w:tc>
          <w:tcPr>
            <w:tcW w:w="1960" w:type="dxa"/>
            <w:noWrap/>
            <w:vAlign w:val="center"/>
          </w:tcPr>
          <w:p w14:paraId="19053B02" w14:textId="5D9063F2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5 101,02 ₽</w:t>
            </w:r>
          </w:p>
        </w:tc>
      </w:tr>
      <w:tr w:rsidR="00595D2F" w:rsidRPr="00434C78" w14:paraId="713C6139" w14:textId="77777777" w:rsidTr="00841786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71DA8BA9" w:rsidR="00595D2F" w:rsidRPr="00434C78" w:rsidRDefault="00924619" w:rsidP="00595D2F">
            <w:pPr>
              <w:jc w:val="center"/>
            </w:pPr>
            <w:r w:rsidRPr="00434C78">
              <w:t>12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39CEC057" w:rsidR="00595D2F" w:rsidRPr="00434C78" w:rsidRDefault="00924619" w:rsidP="00595D2F">
            <w:pPr>
              <w:jc w:val="center"/>
            </w:pPr>
            <w:r w:rsidRPr="00434C78">
              <w:t>17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08C3" w14:textId="323A07FE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45 342,40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DCB5" w14:textId="0BDB61A4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5 667,80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EA9D" w14:textId="25395C2C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4 534,24 ₽</w:t>
            </w:r>
          </w:p>
        </w:tc>
      </w:tr>
      <w:tr w:rsidR="00595D2F" w:rsidRPr="00434C78" w14:paraId="7235E05F" w14:textId="77777777" w:rsidTr="00841786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490BE10B" w:rsidR="00595D2F" w:rsidRPr="00434C78" w:rsidRDefault="00924619" w:rsidP="00595D2F">
            <w:pPr>
              <w:jc w:val="center"/>
            </w:pPr>
            <w:r w:rsidRPr="00434C78">
              <w:t>17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67C1AE7A" w:rsidR="00595D2F" w:rsidRPr="00434C78" w:rsidRDefault="00924619" w:rsidP="00595D2F">
            <w:pPr>
              <w:jc w:val="center"/>
            </w:pPr>
            <w:r w:rsidRPr="00434C78">
              <w:t>22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4583" w14:textId="0A11C3AD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39 674,60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A59C" w14:textId="33635880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5 667,80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FE41" w14:textId="0FC25CD5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3 967,46 ₽</w:t>
            </w:r>
          </w:p>
        </w:tc>
      </w:tr>
      <w:tr w:rsidR="00595D2F" w:rsidRPr="00434C78" w14:paraId="5B1205F7" w14:textId="77777777" w:rsidTr="00841786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4CE28419" w:rsidR="00595D2F" w:rsidRPr="00434C78" w:rsidRDefault="00924619" w:rsidP="00595D2F">
            <w:pPr>
              <w:jc w:val="center"/>
            </w:pPr>
            <w:r w:rsidRPr="00434C78">
              <w:t>22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0E50AC1C" w:rsidR="00595D2F" w:rsidRPr="00434C78" w:rsidRDefault="00924619" w:rsidP="00595D2F">
            <w:pPr>
              <w:jc w:val="center"/>
            </w:pPr>
            <w:r w:rsidRPr="00434C78">
              <w:t>27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46A6" w14:textId="1CF572DE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34 006,80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FFAF" w14:textId="51AE06AB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5 667,80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AF3" w14:textId="47A1F277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3 400,68 ₽</w:t>
            </w:r>
          </w:p>
        </w:tc>
      </w:tr>
      <w:tr w:rsidR="00595D2F" w:rsidRPr="00434C78" w14:paraId="318754A6" w14:textId="77777777" w:rsidTr="00841786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BED4" w14:textId="1EC82EB3" w:rsidR="00595D2F" w:rsidRPr="00434C78" w:rsidRDefault="00924619" w:rsidP="00595D2F">
            <w:pPr>
              <w:jc w:val="center"/>
            </w:pPr>
            <w:r w:rsidRPr="00434C78">
              <w:lastRenderedPageBreak/>
              <w:t>27</w:t>
            </w:r>
            <w:r w:rsidR="00595D2F" w:rsidRPr="00434C78">
              <w:t>.0</w:t>
            </w:r>
            <w:r w:rsidRPr="00434C78">
              <w:t>7</w:t>
            </w:r>
            <w:r w:rsidR="00595D2F" w:rsidRPr="00434C78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4ACA5" w14:textId="21DE00D2" w:rsidR="00595D2F" w:rsidRPr="00434C78" w:rsidRDefault="00924619" w:rsidP="00595D2F">
            <w:pPr>
              <w:jc w:val="center"/>
            </w:pPr>
            <w:r w:rsidRPr="00434C78">
              <w:t>01</w:t>
            </w:r>
            <w:r w:rsidR="00595D2F" w:rsidRPr="00434C78">
              <w:t>.0</w:t>
            </w:r>
            <w:r w:rsidRPr="00434C78">
              <w:t>8</w:t>
            </w:r>
            <w:r w:rsidR="00595D2F" w:rsidRPr="00434C78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29C8" w14:textId="5FAC9173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28 339,00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FB09A" w14:textId="23DA151F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5 667,80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6E0B5" w14:textId="56F9910E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2 833,90 ₽</w:t>
            </w:r>
          </w:p>
        </w:tc>
      </w:tr>
      <w:tr w:rsidR="00595D2F" w:rsidRPr="00434C78" w14:paraId="6B74BDE5" w14:textId="77777777" w:rsidTr="00841786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7366D" w14:textId="56FD4C27" w:rsidR="00595D2F" w:rsidRPr="00434C78" w:rsidRDefault="00924619" w:rsidP="00595D2F">
            <w:pPr>
              <w:jc w:val="center"/>
            </w:pPr>
            <w:r w:rsidRPr="00434C78">
              <w:t>01</w:t>
            </w:r>
            <w:r w:rsidR="00595D2F" w:rsidRPr="00434C78">
              <w:t>.0</w:t>
            </w:r>
            <w:r w:rsidRPr="00434C78">
              <w:t>8</w:t>
            </w:r>
            <w:r w:rsidR="00595D2F" w:rsidRPr="00434C78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D070" w14:textId="3C68300F" w:rsidR="00595D2F" w:rsidRPr="00434C78" w:rsidRDefault="00595D2F" w:rsidP="00595D2F">
            <w:pPr>
              <w:jc w:val="center"/>
            </w:pPr>
            <w:r w:rsidRPr="00434C78">
              <w:t>06.0</w:t>
            </w:r>
            <w:r w:rsidR="00924619" w:rsidRPr="00434C78">
              <w:t>8</w:t>
            </w:r>
            <w:r w:rsidRPr="00434C78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0E30" w14:textId="6130DFA7" w:rsidR="00595D2F" w:rsidRPr="00434C78" w:rsidRDefault="00595D2F" w:rsidP="00595D2F">
            <w:pPr>
              <w:jc w:val="center"/>
              <w:rPr>
                <w:color w:val="000000"/>
              </w:rPr>
            </w:pPr>
            <w:r w:rsidRPr="00434C78">
              <w:t> </w:t>
            </w:r>
            <w:r w:rsidRPr="00434C78">
              <w:rPr>
                <w:color w:val="000000"/>
              </w:rPr>
              <w:t>22 671,20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1571" w14:textId="5FC819FF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5 667,80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846E5" w14:textId="27AABED6" w:rsidR="00595D2F" w:rsidRPr="00434C78" w:rsidRDefault="00595D2F" w:rsidP="00595D2F">
            <w:pPr>
              <w:jc w:val="center"/>
            </w:pPr>
            <w:r w:rsidRPr="00434C78">
              <w:t> </w:t>
            </w:r>
            <w:r w:rsidRPr="00434C78">
              <w:rPr>
                <w:color w:val="000000"/>
              </w:rPr>
              <w:t>2 267,12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6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9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6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1" w:history="1">
        <w:r w:rsidR="00F6520E">
          <w:rPr>
            <w:rStyle w:val="af0"/>
          </w:rPr>
          <w:t>https://catalog.lot-online.ru/index.php?dispatch=rad_attachment.getfile&amp;attachment_id=2726834&amp;inline=true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</w:t>
      </w:r>
      <w:r>
        <w:lastRenderedPageBreak/>
        <w:t>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lastRenderedPageBreak/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E117DC3" w14:textId="27A8A92B" w:rsidR="00F6520E" w:rsidRDefault="00000000" w:rsidP="003B7F1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7439" w14:textId="77777777" w:rsidR="00E523D4" w:rsidRDefault="00E523D4">
      <w:r>
        <w:separator/>
      </w:r>
    </w:p>
  </w:endnote>
  <w:endnote w:type="continuationSeparator" w:id="0">
    <w:p w14:paraId="1FB157E1" w14:textId="77777777" w:rsidR="00E523D4" w:rsidRDefault="00E5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D15B" w14:textId="77777777" w:rsidR="00E523D4" w:rsidRDefault="00E523D4">
      <w:r>
        <w:separator/>
      </w:r>
    </w:p>
  </w:footnote>
  <w:footnote w:type="continuationSeparator" w:id="0">
    <w:p w14:paraId="52383544" w14:textId="77777777" w:rsidR="00E523D4" w:rsidRDefault="00E5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185761"/>
    <w:rsid w:val="00291766"/>
    <w:rsid w:val="003B7F10"/>
    <w:rsid w:val="00434C78"/>
    <w:rsid w:val="00450CA9"/>
    <w:rsid w:val="00595D2F"/>
    <w:rsid w:val="005C77BC"/>
    <w:rsid w:val="00715310"/>
    <w:rsid w:val="007808BC"/>
    <w:rsid w:val="00924619"/>
    <w:rsid w:val="00992970"/>
    <w:rsid w:val="00A340B8"/>
    <w:rsid w:val="00B57489"/>
    <w:rsid w:val="00BC6EBB"/>
    <w:rsid w:val="00BD2CB5"/>
    <w:rsid w:val="00CB4E59"/>
    <w:rsid w:val="00E523D4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@auction-hou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lot-online.ru/index.php?dispatch=rad_attachment.getfile&amp;attachment_id=2726834&amp;inline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2709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18115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6</cp:revision>
  <cp:lastPrinted>2017-11-23T14:19:00Z</cp:lastPrinted>
  <dcterms:created xsi:type="dcterms:W3CDTF">2025-09-30T04:45:00Z</dcterms:created>
  <dcterms:modified xsi:type="dcterms:W3CDTF">2026-06-30T07:17:00Z</dcterms:modified>
</cp:coreProperties>
</file>