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2A" w:rsidRDefault="00924F2A" w:rsidP="00924F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4F2A" w:rsidTr="00924F2A">
        <w:tc>
          <w:tcPr>
            <w:tcW w:w="4672" w:type="dxa"/>
            <w:hideMark/>
          </w:tcPr>
          <w:p w:rsidR="00924F2A" w:rsidRDefault="00924F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924F2A" w:rsidRDefault="00924F2A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924F2A" w:rsidRDefault="00924F2A" w:rsidP="0092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24F2A" w:rsidRDefault="00924F2A" w:rsidP="0092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24F2A" w:rsidRDefault="00924F2A" w:rsidP="0092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91CFF">
        <w:rPr>
          <w:rFonts w:ascii="Times New Roman" w:hAnsi="Times New Roman" w:cs="Times New Roman"/>
          <w:b/>
          <w:sz w:val="20"/>
          <w:szCs w:val="20"/>
        </w:rPr>
        <w:t>Чекунаев</w:t>
      </w:r>
      <w:proofErr w:type="spellEnd"/>
      <w:r w:rsidRPr="00991CFF">
        <w:rPr>
          <w:rFonts w:ascii="Times New Roman" w:hAnsi="Times New Roman" w:cs="Times New Roman"/>
          <w:b/>
          <w:sz w:val="20"/>
          <w:szCs w:val="20"/>
        </w:rPr>
        <w:t xml:space="preserve"> Михаил Михайлович </w:t>
      </w:r>
      <w:r w:rsidRPr="00991CFF">
        <w:rPr>
          <w:rFonts w:ascii="Times New Roman" w:hAnsi="Times New Roman" w:cs="Times New Roman"/>
          <w:sz w:val="20"/>
          <w:szCs w:val="20"/>
        </w:rPr>
        <w:t>(03.06.1999 г. р, место рождения: гор. Ростов-на-Дону, адрес регистрации: Ростовская обл., р-н Тацинский, х. Крылов, ул. Прудовая, д. 17, ИНН 613405018935, СНИЛС 158-364-572 99)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>, действующей на основании решения</w:t>
      </w:r>
      <w:r w:rsidRPr="00991CFF">
        <w:rPr>
          <w:rFonts w:ascii="Times New Roman" w:hAnsi="Times New Roman" w:cs="Times New Roman"/>
          <w:sz w:val="20"/>
          <w:szCs w:val="20"/>
        </w:rPr>
        <w:t xml:space="preserve"> Арбитражного суда Ростовской области от 10.02.2026 по делу № А53-42759/2025</w:t>
      </w:r>
      <w:r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924F2A" w:rsidRDefault="00924F2A" w:rsidP="00924F2A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924F2A" w:rsidRDefault="00924F2A" w:rsidP="00924F2A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Чекунаева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Михаила Михайловича</w:t>
      </w:r>
      <w:r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proofErr w:type="spellStart"/>
      <w:r w:rsidRPr="00924F2A">
        <w:rPr>
          <w:rFonts w:ascii="Times New Roman" w:hAnsi="Times New Roman" w:cs="Times New Roman"/>
          <w:b/>
          <w:sz w:val="20"/>
          <w:szCs w:val="20"/>
        </w:rPr>
        <w:t>Чекунаев</w:t>
      </w:r>
      <w:proofErr w:type="spellEnd"/>
      <w:r w:rsidRPr="00924F2A">
        <w:rPr>
          <w:rFonts w:ascii="Times New Roman" w:hAnsi="Times New Roman" w:cs="Times New Roman"/>
          <w:b/>
          <w:sz w:val="20"/>
          <w:szCs w:val="20"/>
        </w:rPr>
        <w:t xml:space="preserve"> Михаил Михайлович, ИНН: 613405018935, банк получателя: Мурманское отделение №8627 ПАО Сбербанк, р/</w:t>
      </w:r>
      <w:proofErr w:type="spellStart"/>
      <w:r w:rsidRPr="00924F2A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924F2A">
        <w:rPr>
          <w:rFonts w:ascii="Times New Roman" w:hAnsi="Times New Roman" w:cs="Times New Roman"/>
          <w:b/>
          <w:sz w:val="20"/>
          <w:szCs w:val="20"/>
        </w:rPr>
        <w:t xml:space="preserve"> № 40817810712003070087, к/</w:t>
      </w:r>
      <w:proofErr w:type="spellStart"/>
      <w:r w:rsidRPr="00924F2A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924F2A">
        <w:rPr>
          <w:rFonts w:ascii="Times New Roman" w:hAnsi="Times New Roman" w:cs="Times New Roman"/>
          <w:b/>
          <w:sz w:val="20"/>
          <w:szCs w:val="20"/>
        </w:rPr>
        <w:t xml:space="preserve"> № 30101810300000000615, БИК: 044705615, ИНН банка получателя: 7707083893</w:t>
      </w:r>
      <w:r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 1, на проводимых Продавцом открытых торгах по продаже имущества Продавца, задаток в размере 10 % от начальной цены лота.</w:t>
      </w:r>
    </w:p>
    <w:p w:rsidR="00924F2A" w:rsidRDefault="00924F2A" w:rsidP="00924F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924F2A" w:rsidRDefault="00924F2A" w:rsidP="00924F2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924F2A" w:rsidRDefault="00924F2A" w:rsidP="00924F2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924F2A" w:rsidRDefault="00924F2A" w:rsidP="00924F2A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924F2A" w:rsidTr="00924F2A">
        <w:tc>
          <w:tcPr>
            <w:tcW w:w="4672" w:type="dxa"/>
          </w:tcPr>
          <w:p w:rsidR="00924F2A" w:rsidRDefault="00924F2A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924F2A" w:rsidRDefault="00924F2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CFF">
              <w:rPr>
                <w:rFonts w:ascii="Times New Roman" w:hAnsi="Times New Roman" w:cs="Times New Roman"/>
                <w:b/>
                <w:sz w:val="20"/>
                <w:szCs w:val="20"/>
              </w:rPr>
              <w:t>Чекунаев</w:t>
            </w:r>
            <w:proofErr w:type="spellEnd"/>
            <w:r w:rsidRPr="00991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Михайлович </w:t>
            </w:r>
            <w:r w:rsidRPr="00991CFF">
              <w:rPr>
                <w:rFonts w:ascii="Times New Roman" w:hAnsi="Times New Roman" w:cs="Times New Roman"/>
                <w:sz w:val="20"/>
                <w:szCs w:val="20"/>
              </w:rPr>
              <w:t>(03.06.1999 г. р, место рождения: гор. Ростов-на-Дону, адрес регистрации: Ростовская обл., р-н Тацинский, х. Крылов, ул. Прудовая, д. 17, ИНН 613405018935, СНИЛС 158-364-572 99)</w:t>
            </w:r>
          </w:p>
          <w:p w:rsidR="00924F2A" w:rsidRDefault="00924F2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924F2A" w:rsidRDefault="00924F2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924F2A" w:rsidRDefault="00924F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924F2A" w:rsidRDefault="00924F2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924F2A" w:rsidRDefault="00924F2A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924F2A" w:rsidRDefault="00924F2A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24F2A" w:rsidRDefault="00924F2A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924F2A" w:rsidRDefault="00924F2A" w:rsidP="00924F2A"/>
    <w:p w:rsidR="00924F2A" w:rsidRDefault="00924F2A" w:rsidP="00924F2A"/>
    <w:p w:rsidR="00924F2A" w:rsidRDefault="00924F2A" w:rsidP="00924F2A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9D"/>
    <w:rsid w:val="00044ED2"/>
    <w:rsid w:val="001E7CE4"/>
    <w:rsid w:val="00924F2A"/>
    <w:rsid w:val="00AA6C88"/>
    <w:rsid w:val="00C2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9581E-F071-47FF-8E2E-68C1E0B1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F2A"/>
    <w:pPr>
      <w:ind w:left="720"/>
      <w:contextualSpacing/>
    </w:pPr>
  </w:style>
  <w:style w:type="paragraph" w:customStyle="1" w:styleId="ConsNonformat">
    <w:name w:val="ConsNonformat"/>
    <w:rsid w:val="00924F2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924F2A"/>
  </w:style>
  <w:style w:type="table" w:styleId="a4">
    <w:name w:val="Table Grid"/>
    <w:basedOn w:val="a1"/>
    <w:uiPriority w:val="39"/>
    <w:rsid w:val="0092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fyPnSMsZUvXOmovAuFZ7maqlty/6SDOJxZHYNH0GEKs=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SzX0AJGL34x0ZsCip9uiqr1sNuryoxyPTw04UXg4PmQ=</DigestValue>
    </Reference>
  </SignedInfo>
  <SignatureValue>YVrukdXWjxzsvBP890iv3b36J7Ah0rW1A/f47h96sVfgIwPYvXncVFZEdP61Tei/
hGVHYNRvqs9LrSnTHn0iMQ==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zBE5B24Dbt3rmVnWP1EAWJYXymo=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A77fnEOfFTAzm1bKeoscKm5TRO4=</DigestValue>
      </Reference>
      <Reference URI="/word/styles.xml?ContentType=application/vnd.openxmlformats-officedocument.wordprocessingml.styles+xml">
        <DigestMethod Algorithm="http://www.w3.org/2000/09/xmldsig#sha1"/>
        <DigestValue>n5GKTn9tTWyWRr429TZNu5kU0Yo=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bLlBiORATT38OHtbV0+2ISisMV4=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2026-06-08T12:16:53Z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2026-06-08T12:16:53Z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2026-06-08T12:15:00Z</dcterms:created>
  <dcterms:modified xsi:type="dcterms:W3CDTF">2026-06-08T12:16:00Z</dcterms:modified>
</cp:coreProperties>
</file>