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5812"/>
        <w:jc w:val="right"/>
        <w:textAlignment w:val="baseline"/>
        <w:rPr>
          <w:sz w:val="28"/>
          <w:szCs w:val="28"/>
        </w:rPr>
      </w:pPr>
      <w:r>
        <w:rPr>
          <w:rFonts w:eastAsia="Arial Unicode MS" w:cs="Arial Unicode MS"/>
          <w:b/>
          <w:i/>
          <w:kern w:val="2"/>
          <w:sz w:val="28"/>
          <w:szCs w:val="28"/>
          <w:lang w:eastAsia="zh-CN" w:bidi="hi-IN"/>
        </w:rPr>
        <w:t>Приложение 2</w:t>
      </w:r>
    </w:p>
    <w:p>
      <w:pPr>
        <w:pStyle w:val="Normal"/>
        <w:tabs>
          <w:tab w:val="left" w:pos="708" w:leader="none"/>
        </w:tabs>
        <w:spacing w:before="0" w:after="0"/>
        <w:ind w:firstLine="5812"/>
        <w:jc w:val="right"/>
        <w:textAlignment w:val="baseline"/>
        <w:rPr>
          <w:sz w:val="28"/>
          <w:szCs w:val="28"/>
        </w:rPr>
      </w:pPr>
      <w:r>
        <w:rPr>
          <w:rFonts w:eastAsia="Arial" w:cs="Calibri"/>
          <w:b/>
          <w:i/>
          <w:kern w:val="2"/>
          <w:sz w:val="28"/>
          <w:szCs w:val="28"/>
          <w:lang w:eastAsia="zh-CN" w:bidi="hi-IN"/>
        </w:rPr>
        <w:t xml:space="preserve">к распоряжению  </w:t>
      </w:r>
    </w:p>
    <w:p>
      <w:pPr>
        <w:pStyle w:val="Normal"/>
        <w:tabs>
          <w:tab w:val="left" w:pos="708" w:leader="none"/>
        </w:tabs>
        <w:spacing w:before="0" w:after="0"/>
        <w:jc w:val="right"/>
        <w:textAlignment w:val="baseline"/>
        <w:rPr>
          <w:sz w:val="28"/>
          <w:szCs w:val="28"/>
        </w:rPr>
      </w:pPr>
      <w:r>
        <w:rPr>
          <w:rFonts w:eastAsia="Arial" w:cs="Calibri"/>
          <w:b/>
          <w:i/>
          <w:kern w:val="2"/>
          <w:sz w:val="28"/>
          <w:szCs w:val="28"/>
          <w:shd w:fill="FFFFFF" w:val="clear"/>
          <w:lang w:eastAsia="zh-CN" w:bidi="hi-IN"/>
        </w:rPr>
        <w:t>ООО «МГЭС Ставрополья и КЧР»</w:t>
      </w:r>
    </w:p>
    <w:p>
      <w:pPr>
        <w:pStyle w:val="Normal"/>
        <w:tabs>
          <w:tab w:val="left" w:pos="708" w:leader="none"/>
        </w:tabs>
        <w:spacing w:before="0" w:after="0"/>
        <w:ind w:firstLine="5812"/>
        <w:jc w:val="right"/>
        <w:textAlignment w:val="baseline"/>
        <w:rPr>
          <w:sz w:val="28"/>
          <w:szCs w:val="28"/>
        </w:rPr>
      </w:pPr>
      <w:r>
        <w:rPr>
          <w:rFonts w:eastAsia="Arial" w:cs="Calibri"/>
          <w:b/>
          <w:i/>
          <w:kern w:val="2"/>
          <w:sz w:val="28"/>
          <w:szCs w:val="28"/>
          <w:lang w:eastAsia="zh-CN" w:bidi="hi-IN"/>
        </w:rPr>
        <w:t xml:space="preserve">от ___.___.2026 № __________  </w:t>
      </w:r>
    </w:p>
    <w:p>
      <w:pPr>
        <w:pStyle w:val="Normal"/>
        <w:spacing w:before="0" w:after="0"/>
        <w:ind w:left="3980" w:hanging="11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5954" w:hanging="0"/>
        <w:jc w:val="right"/>
        <w:rPr>
          <w:b/>
          <w:i/>
          <w:i/>
        </w:rPr>
      </w:pPr>
      <w:r>
        <w:rPr>
          <w:b/>
          <w:i/>
        </w:rPr>
      </w:r>
    </w:p>
    <w:p>
      <w:pPr>
        <w:pStyle w:val="Normal"/>
        <w:ind w:left="5954" w:hanging="0"/>
        <w:jc w:val="right"/>
        <w:rPr>
          <w:b/>
          <w:i/>
          <w:i/>
        </w:rPr>
      </w:pPr>
      <w:r>
        <w:rPr>
          <w:b/>
          <w:i/>
        </w:rPr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Извещение о проведении открытого аукциона в электронной форме по продаже имущества </w:t>
      </w:r>
      <w:r>
        <w:rPr>
          <w:rFonts w:eastAsia="Arial" w:cs="Calibri"/>
          <w:b/>
          <w:i/>
          <w:kern w:val="2"/>
          <w:sz w:val="28"/>
          <w:szCs w:val="28"/>
          <w:shd w:fill="FFFFFF" w:val="clear"/>
          <w:lang w:eastAsia="zh-CN" w:bidi="hi-IN"/>
        </w:rPr>
        <w:t>ООО «МГЭС Ставрополья и КЧР»</w:t>
      </w:r>
    </w:p>
    <w:p>
      <w:pPr>
        <w:pStyle w:val="Normal"/>
        <w:rPr/>
      </w:pPr>
      <w:r>
        <w:rPr/>
      </w:r>
    </w:p>
    <w:p>
      <w:pPr>
        <w:pStyle w:val="Tableheader"/>
        <w:widowControl w:val="false"/>
        <w:rPr>
          <w:b w:val="false"/>
          <w:sz w:val="26"/>
          <w:szCs w:val="26"/>
        </w:rPr>
      </w:pPr>
      <w:r>
        <w:rPr>
          <w:bCs/>
          <w:sz w:val="26"/>
          <w:szCs w:val="26"/>
        </w:rPr>
        <w:t>Продавец:</w:t>
      </w:r>
      <w:r>
        <w:rPr>
          <w:b w:val="false"/>
          <w:sz w:val="26"/>
          <w:szCs w:val="26"/>
        </w:rPr>
        <w:t xml:space="preserve"> Общество с ограниченной ответственностью «Малые ГЭС Ставрополья и Карачаево-Черкессии» (ООО «МГЭС Ставрополья и КЧР»); </w:t>
      </w:r>
    </w:p>
    <w:p>
      <w:pPr>
        <w:pStyle w:val="Tableheader"/>
        <w:widowControl w:val="false"/>
        <w:spacing w:before="0" w:after="0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  <w:t xml:space="preserve">ОГРН 1090917001867, ИНН 0917014406; </w:t>
      </w:r>
    </w:p>
    <w:p>
      <w:pPr>
        <w:pStyle w:val="Tableheader"/>
        <w:widowControl w:val="false"/>
        <w:spacing w:before="0" w:after="0"/>
        <w:rPr>
          <w:b w:val="false"/>
          <w:sz w:val="26"/>
          <w:szCs w:val="26"/>
        </w:rPr>
      </w:pPr>
      <w:r>
        <w:rPr>
          <w:bCs/>
          <w:sz w:val="26"/>
          <w:szCs w:val="26"/>
        </w:rPr>
        <w:t>Место нахождения:</w:t>
      </w:r>
      <w:r>
        <w:rPr>
          <w:b w:val="false"/>
          <w:sz w:val="26"/>
          <w:szCs w:val="26"/>
        </w:rPr>
        <w:t xml:space="preserve"> 3</w:t>
      </w:r>
      <w:r>
        <w:rPr>
          <w:rStyle w:val="Style8"/>
          <w:b/>
          <w:i w:val="false"/>
          <w:sz w:val="26"/>
          <w:szCs w:val="26"/>
          <w:shd w:fill="auto" w:val="clear"/>
        </w:rPr>
        <w:t>57431, Ставропольский край, г.о. город-курорт Железноводск, п. Иноземцево, ул. Гагарина, д. 2Н, помещ.35</w:t>
      </w:r>
    </w:p>
    <w:p>
      <w:pPr>
        <w:pStyle w:val="Tableheader"/>
        <w:widowControl w:val="false"/>
        <w:spacing w:before="0" w:after="0"/>
        <w:rPr>
          <w:b w:val="false"/>
          <w:sz w:val="26"/>
          <w:szCs w:val="26"/>
        </w:rPr>
      </w:pPr>
      <w:r>
        <w:rPr>
          <w:b w:val="false"/>
          <w:bCs/>
          <w:sz w:val="26"/>
          <w:szCs w:val="26"/>
        </w:rPr>
        <w:t xml:space="preserve">Адрес электронной почты: </w:t>
      </w:r>
      <w:r>
        <w:rPr>
          <w:rStyle w:val="Style8"/>
          <w:b/>
          <w:i w:val="false"/>
          <w:sz w:val="26"/>
          <w:szCs w:val="26"/>
          <w:shd w:fill="auto" w:val="clear"/>
        </w:rPr>
        <w:t>UK_GidroOGK-YuG@rushydro.ru</w:t>
      </w:r>
    </w:p>
    <w:p>
      <w:pPr>
        <w:pStyle w:val="Tableheader"/>
        <w:widowControl w:val="false"/>
        <w:spacing w:before="0" w:after="0"/>
        <w:rPr>
          <w:b w:val="false"/>
          <w:sz w:val="26"/>
          <w:szCs w:val="26"/>
        </w:rPr>
      </w:pPr>
      <w:r>
        <w:rPr>
          <w:b w:val="false"/>
          <w:bCs/>
          <w:sz w:val="26"/>
          <w:szCs w:val="26"/>
        </w:rPr>
        <w:t xml:space="preserve">Контактный телефон: </w:t>
      </w:r>
      <w:r>
        <w:rPr>
          <w:rStyle w:val="Style8"/>
          <w:b/>
          <w:i w:val="false"/>
          <w:sz w:val="26"/>
          <w:szCs w:val="26"/>
          <w:shd w:fill="auto" w:val="clear"/>
        </w:rPr>
        <w:t>8(800)333 8000 / +7 (495) 122 0555 доб 00161-83</w:t>
      </w:r>
    </w:p>
    <w:p>
      <w:pPr>
        <w:pStyle w:val="Tableheader"/>
        <w:widowControl w:val="false"/>
        <w:rPr>
          <w:b w:val="false"/>
          <w:sz w:val="26"/>
          <w:szCs w:val="26"/>
        </w:rPr>
      </w:pPr>
      <w:r>
        <w:rPr>
          <w:bCs/>
          <w:sz w:val="26"/>
          <w:szCs w:val="26"/>
        </w:rPr>
        <w:t>Организатор продажи:</w:t>
      </w:r>
      <w:r>
        <w:rPr>
          <w:b w:val="false"/>
          <w:sz w:val="26"/>
          <w:szCs w:val="26"/>
        </w:rPr>
        <w:t xml:space="preserve"> Наименование (полное и сокращенное): Общество с ограниченной ответственностью «Малые ГЭС Ставрополья и Карачаево-Черкессии» (ООО «МГЭС Ставрополья и КЧР»);</w:t>
      </w:r>
    </w:p>
    <w:p>
      <w:pPr>
        <w:pStyle w:val="Tableheader"/>
        <w:widowControl w:val="false"/>
        <w:spacing w:before="0" w:after="0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  <w:t>ОГРН 1090917001867, ИНН 0917014406</w:t>
      </w:r>
    </w:p>
    <w:p>
      <w:pPr>
        <w:pStyle w:val="Tableheader"/>
        <w:widowControl w:val="false"/>
        <w:spacing w:before="0" w:after="0"/>
        <w:rPr>
          <w:sz w:val="26"/>
          <w:szCs w:val="26"/>
        </w:rPr>
      </w:pPr>
      <w:r>
        <w:rPr>
          <w:rStyle w:val="Style8"/>
          <w:b/>
          <w:bCs/>
          <w:i w:val="false"/>
          <w:sz w:val="26"/>
          <w:szCs w:val="26"/>
          <w:shd w:fill="auto" w:val="clear"/>
        </w:rPr>
        <w:t>Место нахождения: 3</w:t>
      </w:r>
      <w:r>
        <w:rPr>
          <w:rStyle w:val="Style8"/>
          <w:b/>
          <w:i w:val="false"/>
          <w:sz w:val="26"/>
          <w:szCs w:val="26"/>
          <w:shd w:fill="auto" w:val="clear"/>
        </w:rPr>
        <w:t>57431, Ставропольский край, г.о. город-курорт Железноводск, п. Иноземцево, ул. Гагарина, д. 2Н, помещ.35</w:t>
      </w:r>
    </w:p>
    <w:p>
      <w:pPr>
        <w:pStyle w:val="Tableheader"/>
        <w:widowControl w:val="false"/>
        <w:spacing w:before="0" w:after="0"/>
        <w:rPr>
          <w:sz w:val="26"/>
          <w:szCs w:val="26"/>
        </w:rPr>
      </w:pPr>
      <w:r>
        <w:rPr>
          <w:rStyle w:val="Style8"/>
          <w:b/>
          <w:bCs/>
          <w:i w:val="false"/>
          <w:sz w:val="26"/>
          <w:szCs w:val="26"/>
          <w:shd w:fill="auto" w:val="clear"/>
        </w:rPr>
        <w:t>Почтовый адрес: 3</w:t>
      </w:r>
      <w:r>
        <w:rPr>
          <w:rStyle w:val="Style8"/>
          <w:b/>
          <w:i w:val="false"/>
          <w:sz w:val="26"/>
          <w:szCs w:val="26"/>
          <w:shd w:fill="auto" w:val="clear"/>
        </w:rPr>
        <w:t>57431, Ставропольский край, г.о. город-курорт Железноводск, п. Иноземцево, ул. Гагарина, д. 2Н, помещ. 35</w:t>
      </w:r>
    </w:p>
    <w:p>
      <w:pPr>
        <w:pStyle w:val="Tableheader"/>
        <w:widowControl w:val="false"/>
        <w:spacing w:before="0" w:after="0"/>
        <w:rPr/>
      </w:pPr>
      <w:r>
        <w:rPr>
          <w:rStyle w:val="Style8"/>
          <w:b/>
          <w:bCs/>
          <w:i w:val="false"/>
          <w:sz w:val="26"/>
          <w:szCs w:val="26"/>
          <w:shd w:fill="auto" w:val="clear"/>
        </w:rPr>
        <w:t>Адрес электронной почты:</w:t>
      </w:r>
    </w:p>
    <w:p>
      <w:pPr>
        <w:pStyle w:val="Tableheader"/>
        <w:widowControl w:val="false"/>
        <w:spacing w:before="0" w:after="0"/>
        <w:rPr>
          <w:sz w:val="26"/>
          <w:szCs w:val="26"/>
        </w:rPr>
      </w:pPr>
      <w:r>
        <w:rPr>
          <w:rStyle w:val="Style8"/>
          <w:b/>
          <w:i w:val="false"/>
          <w:sz w:val="26"/>
          <w:szCs w:val="26"/>
          <w:shd w:fill="auto" w:val="clear"/>
        </w:rPr>
        <w:t>UK_GidroOGK-YuG@rushydro.ru</w:t>
      </w:r>
    </w:p>
    <w:p>
      <w:pPr>
        <w:pStyle w:val="Tableheader"/>
        <w:widowControl w:val="false"/>
        <w:spacing w:before="0" w:after="0"/>
        <w:rPr/>
      </w:pPr>
      <w:r>
        <w:rPr>
          <w:rStyle w:val="Style8"/>
          <w:b/>
          <w:bCs/>
          <w:i w:val="false"/>
          <w:sz w:val="26"/>
          <w:szCs w:val="26"/>
          <w:shd w:fill="auto" w:val="clear"/>
        </w:rPr>
        <w:t>Контактный телефон:</w:t>
      </w:r>
    </w:p>
    <w:p>
      <w:pPr>
        <w:pStyle w:val="Tableheader"/>
        <w:widowControl w:val="false"/>
        <w:spacing w:before="0" w:after="0"/>
        <w:rPr>
          <w:sz w:val="26"/>
          <w:szCs w:val="26"/>
        </w:rPr>
      </w:pPr>
      <w:r>
        <w:rPr>
          <w:rStyle w:val="Style8"/>
          <w:b/>
          <w:i w:val="false"/>
          <w:sz w:val="26"/>
          <w:szCs w:val="26"/>
          <w:shd w:fill="auto" w:val="clear"/>
        </w:rPr>
        <w:t>8(800)333 8000 / +7 (495) 122 0555 доб 00161-83</w:t>
      </w:r>
    </w:p>
    <w:p>
      <w:pPr>
        <w:pStyle w:val="Tableheader"/>
        <w:rPr/>
      </w:pPr>
      <w:r>
        <w:rPr>
          <w:bCs/>
          <w:sz w:val="26"/>
          <w:szCs w:val="26"/>
        </w:rPr>
        <w:t>Пр</w:t>
      </w:r>
      <w:r>
        <w:rPr>
          <w:rStyle w:val="Style8"/>
          <w:b/>
          <w:bCs/>
          <w:i w:val="false"/>
          <w:color w:val="000000"/>
          <w:sz w:val="26"/>
          <w:szCs w:val="26"/>
          <w:shd w:fill="auto" w:val="clear"/>
        </w:rPr>
        <w:t xml:space="preserve">едмет продажи: </w:t>
      </w:r>
    </w:p>
    <w:p>
      <w:pPr>
        <w:pStyle w:val="Tableheader"/>
        <w:widowControl w:val="false"/>
        <w:spacing w:before="0" w:after="0"/>
        <w:rPr/>
      </w:pPr>
      <w:r>
        <w:rPr>
          <w:rStyle w:val="Style8"/>
          <w:b/>
          <w:i w:val="false"/>
          <w:color w:val="000000"/>
          <w:sz w:val="26"/>
          <w:szCs w:val="26"/>
          <w:shd w:fill="auto" w:val="clear"/>
        </w:rPr>
        <w:t>Оборудование - Модульная бетоносмесительная установка МБСУ-60.2 (Бетонно-обогатительное хозяйство).</w:t>
      </w:r>
    </w:p>
    <w:p>
      <w:pPr>
        <w:pStyle w:val="Normal"/>
        <w:rPr/>
      </w:pPr>
      <w:r>
        <w:rPr>
          <w:b/>
        </w:rPr>
        <w:t>Адрес местонахождения предмета продажи:</w:t>
      </w:r>
      <w:r>
        <w:rPr/>
        <w:t xml:space="preserve"> </w:t>
      </w:r>
    </w:p>
    <w:p>
      <w:pPr>
        <w:pStyle w:val="Normal"/>
        <w:spacing w:before="0" w:after="0"/>
        <w:rPr>
          <w:i/>
          <w:i/>
          <w:shd w:fill="FFFF99" w:val="clear"/>
        </w:rPr>
      </w:pPr>
      <w:r>
        <w:rPr>
          <w:rStyle w:val="Style8"/>
          <w:b w:val="false"/>
          <w:i w:val="false"/>
          <w:color w:val="000000"/>
          <w:shd w:fill="auto" w:val="clear"/>
        </w:rPr>
        <w:t>Республика Дагестан, Гергебильский р-н, с.Чалда.</w:t>
      </w:r>
    </w:p>
    <w:p>
      <w:pPr>
        <w:pStyle w:val="Normal"/>
        <w:rPr/>
      </w:pPr>
      <w:r>
        <w:rPr>
          <w:b/>
        </w:rPr>
        <w:t>Краткое описание Предмета продажи:</w:t>
      </w:r>
    </w:p>
    <w:p>
      <w:pPr>
        <w:pStyle w:val="Normal"/>
        <w:rPr/>
      </w:pPr>
      <w:r>
        <w:rPr/>
        <w:t>Бетоносмеситель</w:t>
      </w:r>
      <w:r>
        <w:rPr>
          <w:color w:val="000000"/>
        </w:rPr>
        <w:t>ная установка МБСУ 60.2 предназначена для изготовления бетонных смесей на строительных объектах. Климатическое исполнение установки- У, категории размещения - 1 по ГОСТ 15150. Установка рассчитана на круглогодичную эксплуатацию в районах с умеренным климато</w:t>
      </w:r>
      <w:r>
        <w:rPr/>
        <w:t>м при температуре окружающей среды не ниже минус 30С, при ветровой нагрузке до 55 кг/м и снеговой нагрузку до 150 кг/м и сейсмичности до 6 баллов по шкале Рихтера.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40"/>
        <w:rPr>
          <w:b/>
          <w:i/>
          <w:i/>
        </w:rPr>
      </w:pPr>
      <w:r>
        <w:rPr>
          <w:b/>
        </w:rPr>
        <w:t>Обременения:</w:t>
      </w:r>
      <w:r>
        <w:rPr/>
        <w:t xml:space="preserve"> «отсутствуют»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40"/>
        <w:rPr>
          <w:rFonts w:eastAsia="Lucida Sans Unicode"/>
          <w:i/>
          <w:i/>
          <w:kern w:val="2"/>
          <w:shd w:fill="FFFF99" w:val="clear"/>
        </w:rPr>
      </w:pPr>
      <w:r>
        <w:rPr>
          <w:b/>
        </w:rPr>
        <w:t>Начальная цена продажи</w:t>
      </w:r>
      <w:r>
        <w:rPr/>
        <w:t>:  1 219 389</w:t>
      </w:r>
      <w:r>
        <w:rPr>
          <w:sz w:val="28"/>
          <w:szCs w:val="28"/>
        </w:rPr>
        <w:t xml:space="preserve"> (Один миллион двести девятнадцать тысяч триста восемьдесят девять) рублей 76 коп.,</w:t>
      </w:r>
      <w:r>
        <w:rPr/>
        <w:t xml:space="preserve"> с учетом НДС,</w:t>
      </w:r>
      <w:r>
        <w:rPr>
          <w:lang w:val="en-US"/>
        </w:rPr>
        <w:t xml:space="preserve"> </w:t>
      </w:r>
      <w:bookmarkStart w:id="0" w:name="_GoBack"/>
      <w:bookmarkEnd w:id="0"/>
      <w:r>
        <w:rPr/>
        <w:t>исчисленного по ставке, установленной п. 3 ст. 164 НК РФ.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ind w:firstLine="540"/>
        <w:rPr>
          <w:szCs w:val="28"/>
        </w:rPr>
      </w:pPr>
      <w:r>
        <w:rPr>
          <w:b/>
        </w:rPr>
        <w:t>«Шаг» аукциона:</w:t>
      </w:r>
      <w:r>
        <w:rPr/>
        <w:t xml:space="preserve"> 3% от начальной цены продажи, указанной в настоящем Извещении, что составляет 36581 (Тридцать шесть тысяч пятьсот </w:t>
      </w:r>
      <w:r>
        <w:rPr>
          <w:rFonts w:eastAsia="Times New Roman" w:cs="Times New Roman"/>
          <w:sz w:val="26"/>
          <w:szCs w:val="26"/>
        </w:rPr>
        <w:t>восемьдесят</w:t>
      </w:r>
      <w:r>
        <w:rPr/>
        <w:t xml:space="preserve"> один) руб.  69 коп., с учетом НДС, исчисленного по ставке, установленной п. 3 ст. 164 НК РФ. </w:t>
      </w:r>
    </w:p>
    <w:p>
      <w:pPr>
        <w:pStyle w:val="Normal"/>
        <w:ind w:firstLine="540"/>
        <w:rPr/>
      </w:pPr>
      <w:r>
        <w:rPr>
          <w:b/>
        </w:rPr>
        <w:t>Дата и время начала подачи Заявок</w:t>
      </w:r>
      <w:r>
        <w:rPr/>
        <w:t>: «12» октябрь 2026 г. 15:00 (по московскому времени).</w:t>
      </w:r>
    </w:p>
    <w:p>
      <w:pPr>
        <w:pStyle w:val="Normal"/>
        <w:ind w:firstLine="540"/>
        <w:rPr>
          <w:rFonts w:eastAsia="Lucida Sans Unicode"/>
          <w:i/>
          <w:i/>
          <w:kern w:val="2"/>
          <w:shd w:fill="FFFF99" w:val="clear"/>
        </w:rPr>
      </w:pPr>
      <w:r>
        <w:rPr>
          <w:b/>
        </w:rPr>
        <w:t>Дата и время окончания подачи Заявок</w:t>
      </w:r>
      <w:r>
        <w:rPr/>
        <w:t>:</w:t>
      </w:r>
      <w:r>
        <w:rPr>
          <w:i/>
        </w:rPr>
        <w:t xml:space="preserve"> </w:t>
      </w:r>
      <w:r>
        <w:rPr/>
        <w:t>«12» ноября 2026г. 17:00 (по московскому времени).</w:t>
      </w:r>
    </w:p>
    <w:p>
      <w:pPr>
        <w:pStyle w:val="Normal"/>
        <w:ind w:firstLine="540"/>
        <w:rPr>
          <w:b/>
          <w:i/>
          <w:i/>
        </w:rPr>
      </w:pPr>
      <w:r>
        <w:rPr>
          <w:b/>
        </w:rPr>
        <w:t>Дата окончания рассмотрения Заявок</w:t>
      </w:r>
      <w:r>
        <w:rPr/>
        <w:t>:</w:t>
      </w:r>
      <w:r>
        <w:rPr>
          <w:i/>
        </w:rPr>
        <w:t xml:space="preserve"> </w:t>
      </w:r>
      <w:r>
        <w:rPr/>
        <w:t>«16» ноября 2026г.</w:t>
      </w:r>
    </w:p>
    <w:p>
      <w:pPr>
        <w:pStyle w:val="Normal"/>
        <w:ind w:firstLine="540"/>
        <w:rPr>
          <w:rFonts w:eastAsia="Lucida Sans Unicode"/>
          <w:i/>
          <w:i/>
          <w:kern w:val="2"/>
          <w:shd w:fill="FFFF99" w:val="clear"/>
        </w:rPr>
      </w:pPr>
      <w:r>
        <w:rPr>
          <w:b/>
        </w:rPr>
        <w:t>Дата и время проведения Аукциона:</w:t>
      </w:r>
      <w:r>
        <w:rPr/>
        <w:t xml:space="preserve"> «18» ноября</w:t>
      </w:r>
    </w:p>
    <w:p>
      <w:pPr>
        <w:pStyle w:val="Normal"/>
        <w:ind w:firstLine="540"/>
        <w:rPr/>
      </w:pPr>
      <w:r>
        <w:rPr>
          <w:b/>
        </w:rPr>
        <w:t>Время ожидания ценового предложения Участника:</w:t>
      </w:r>
      <w:r>
        <w:rPr/>
        <w:t xml:space="preserve"> 30 (тридцать) минут от времени начала проведения аукциона.</w:t>
      </w:r>
    </w:p>
    <w:p>
      <w:pPr>
        <w:pStyle w:val="Normal"/>
        <w:ind w:firstLine="540"/>
        <w:rPr>
          <w:rFonts w:eastAsia="Lucida Sans Unicode"/>
          <w:i/>
          <w:i/>
          <w:kern w:val="2"/>
          <w:shd w:fill="FFFF99" w:val="clear"/>
        </w:rPr>
      </w:pPr>
      <w:r>
        <w:rPr>
          <w:b/>
        </w:rPr>
        <w:t>Дата и время подведения итогов Аукциона:</w:t>
      </w:r>
      <w:r>
        <w:rPr/>
        <w:t xml:space="preserve"> «20» ноября 2026г. в 11:00 (по московскому времени).</w:t>
      </w:r>
    </w:p>
    <w:p>
      <w:pPr>
        <w:pStyle w:val="Normal"/>
        <w:ind w:firstLine="540"/>
        <w:rPr>
          <w:rFonts w:eastAsia="Lucida Sans Unicode"/>
          <w:i/>
          <w:i/>
          <w:kern w:val="2"/>
          <w:shd w:fill="FFFF99" w:val="clear"/>
        </w:rPr>
      </w:pPr>
      <w:r>
        <w:rPr>
          <w:b/>
        </w:rPr>
        <w:t xml:space="preserve">Место подведения итогов: </w:t>
      </w:r>
      <w:r>
        <w:rPr/>
        <w:t>по адресу Организатора продажи.</w:t>
      </w:r>
    </w:p>
    <w:p>
      <w:pPr>
        <w:pStyle w:val="Normal"/>
        <w:ind w:firstLine="540"/>
        <w:rPr/>
      </w:pPr>
      <w:r>
        <w:rPr>
          <w:b/>
        </w:rPr>
        <w:t>Наименование и адрес электронной торговой площадки для подачи Заявок:</w:t>
      </w:r>
      <w:r>
        <w:rPr/>
        <w:t xml:space="preserve"> Электронная торговая площадка: АО «Российский аукционный дом» (АО «РАД) www.lot-online.ru</w:t>
      </w:r>
    </w:p>
    <w:p>
      <w:pPr>
        <w:pStyle w:val="Normal"/>
        <w:ind w:firstLine="540"/>
        <w:rPr/>
      </w:pPr>
      <w:r>
        <w:rPr>
          <w:b/>
        </w:rPr>
        <w:t>Порядок и форма подачи Заявок:</w:t>
      </w:r>
      <w:r>
        <w:rPr/>
        <w:t xml:space="preserve"> информация приведена в Документации о продаже.</w:t>
      </w:r>
    </w:p>
    <w:p>
      <w:pPr>
        <w:pStyle w:val="Normal"/>
        <w:ind w:firstLine="540"/>
        <w:rPr/>
      </w:pPr>
      <w:r>
        <w:rPr>
          <w:b/>
        </w:rPr>
        <w:t>Участники Аукциона</w:t>
      </w:r>
      <w:r>
        <w:rPr/>
        <w:t xml:space="preserve">: 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</w:r>
      <w:r>
        <w:rPr>
          <w:color w:val="000000"/>
        </w:rPr>
        <w:t>чья заявка признана соответствующей требованиям Документации о продаже.</w:t>
      </w:r>
    </w:p>
    <w:p>
      <w:pPr>
        <w:pStyle w:val="Tableheader"/>
        <w:widowControl w:val="false"/>
        <w:ind w:firstLine="540"/>
        <w:rPr>
          <w:b w:val="false"/>
          <w:sz w:val="26"/>
          <w:szCs w:val="26"/>
        </w:rPr>
      </w:pPr>
      <w:r>
        <w:rPr>
          <w:sz w:val="26"/>
          <w:szCs w:val="26"/>
        </w:rPr>
        <w:t>Порядок подведения итогов Аукциона:</w:t>
      </w:r>
      <w:r>
        <w:rPr/>
        <w:t xml:space="preserve"> </w:t>
      </w:r>
      <w:r>
        <w:rPr>
          <w:b w:val="false"/>
          <w:sz w:val="26"/>
          <w:szCs w:val="26"/>
        </w:rPr>
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 Победителем Аукциона признается Участник, предложивший наиболее высокую цену Договора.</w:t>
      </w:r>
    </w:p>
    <w:p>
      <w:pPr>
        <w:pStyle w:val="Tableheader"/>
        <w:widowControl w:val="false"/>
        <w:ind w:firstLine="630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  <w:t>Описание условий и процедур проводимого Аукциона, порядок ознакомления Участников с иной информацией, ограничения участия в аукционе, срок и условия заключения договора купли-продажи, содержится в Документации о продаже.</w:t>
      </w:r>
    </w:p>
    <w:p>
      <w:pPr>
        <w:pStyle w:val="Tableheader"/>
        <w:widowControl w:val="false"/>
        <w:ind w:firstLine="630"/>
        <w:rPr>
          <w:b w:val="false"/>
          <w:sz w:val="26"/>
          <w:szCs w:val="26"/>
        </w:rPr>
      </w:pPr>
      <w:r>
        <w:rPr>
          <w:sz w:val="26"/>
          <w:szCs w:val="26"/>
          <w:u w:val="single"/>
        </w:rPr>
        <w:t>Документация о продаже официально опубликована на сайте электронной торговой площадки в сети «Интернет» www.lot-online.ru</w:t>
      </w:r>
    </w:p>
    <w:sectPr>
      <w:footerReference w:type="default" r:id="rId2"/>
      <w:type w:val="nextPage"/>
      <w:pgSz w:w="11906" w:h="16838"/>
      <w:pgMar w:left="1134" w:right="656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roman"/>
    <w:pitch w:val="variable"/>
  </w:font>
  <w:font w:name="Geneva CY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60" w:leader="none"/>
      </w:tabs>
      <w:spacing w:before="120" w:after="0"/>
      <w:jc w:val="right"/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2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2</w:t>
    </w:r>
    <w:r>
      <w:rPr>
        <w:sz w:val="24"/>
        <w:i/>
        <w:szCs w:val="24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1134"/>
      </w:pPr>
      <w:rPr>
        <w:sz w:val="26"/>
        <w:i w:val="false"/>
        <w:b/>
        <w:szCs w:val="26"/>
      </w:rPr>
    </w:lvl>
    <w:lvl w:ilvl="2">
      <w:start w:val="1"/>
      <w:numFmt w:val="decimal"/>
      <w:lvlText w:val="%1.%2.%3"/>
      <w:lvlJc w:val="left"/>
      <w:pPr>
        <w:tabs>
          <w:tab w:val="num" w:pos="4962"/>
        </w:tabs>
        <w:ind w:left="4962" w:hanging="1134"/>
      </w:pPr>
      <w:rPr>
        <w:sz w:val="26"/>
        <w:i w:val="false"/>
        <w:b w:val="false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i w:val="false"/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7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等线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pageBreakBefore/>
      <w:numPr>
        <w:ilvl w:val="0"/>
        <w:numId w:val="2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Heading2">
    <w:name w:val="Heading 2"/>
    <w:basedOn w:val="Normal"/>
    <w:next w:val="Normal"/>
    <w:link w:val="2"/>
    <w:qFormat/>
    <w:pPr>
      <w:keepNext w:val="true"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Символ с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1" w:customStyle="1">
    <w:name w:val="Заголовок 1 Знак"/>
    <w:basedOn w:val="DefaultParagraphFont"/>
    <w:qFormat/>
    <w:rPr>
      <w:rFonts w:ascii="Arial" w:hAnsi="Arial" w:eastAsia="Times New Roman" w:cs="Times New Roman"/>
      <w:b/>
      <w:kern w:val="2"/>
      <w:sz w:val="40"/>
      <w:szCs w:val="26"/>
      <w:lang w:eastAsia="ru-RU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Times New Roman" w:cs="Times New Roman"/>
      <w:b/>
      <w:sz w:val="32"/>
      <w:szCs w:val="26"/>
      <w:lang w:eastAsia="ru-RU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Текст сноски Знак"/>
    <w:basedOn w:val="DefaultParagraphFont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11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9d1a9d"/>
    <w:rPr>
      <w:rFonts w:ascii="Segoe UI" w:hAnsi="Segoe UI" w:eastAsia="Times New Roman" w:cs="Segoe UI"/>
      <w:sz w:val="18"/>
      <w:szCs w:val="18"/>
    </w:rPr>
  </w:style>
  <w:style w:type="character" w:styleId="Linenumber1" w:customStyle="1">
    <w:name w:val="line number1"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91edb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uiPriority w:val="99"/>
    <w:semiHidden/>
    <w:qFormat/>
    <w:rsid w:val="00a91edb"/>
    <w:rPr>
      <w:rFonts w:ascii="Times New Roman" w:hAnsi="Times New Roman" w:eastAsia="Times New Roman" w:cs="Times New Roman"/>
    </w:rPr>
  </w:style>
  <w:style w:type="character" w:styleId="Style14" w:customStyle="1">
    <w:name w:val="Тема примечания Знак"/>
    <w:basedOn w:val="Style13"/>
    <w:link w:val="Annotationsubject"/>
    <w:uiPriority w:val="99"/>
    <w:semiHidden/>
    <w:qFormat/>
    <w:rsid w:val="00a91edb"/>
    <w:rPr>
      <w:rFonts w:ascii="Times New Roman" w:hAnsi="Times New Roman" w:eastAsia="Times New Roman" w:cs="Times New Roman"/>
      <w:b/>
      <w:bCs/>
    </w:rPr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4">
    <w:name w:val="line number4"/>
    <w:qFormat/>
    <w:rPr/>
  </w:style>
  <w:style w:type="character" w:styleId="LineNumber">
    <w:name w:val="Line Number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9"/>
    <w:uiPriority w:val="99"/>
    <w:semiHidden/>
    <w:unhideWhenUsed/>
    <w:pPr>
      <w:spacing w:before="0" w:after="0"/>
    </w:pPr>
    <w:rPr>
      <w:sz w:val="20"/>
      <w:szCs w:val="20"/>
    </w:rPr>
  </w:style>
  <w:style w:type="paragraph" w:styleId="Style1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before="0" w:after="0"/>
    </w:pPr>
    <w:rPr/>
  </w:style>
  <w:style w:type="paragraph" w:styleId="Footer">
    <w:name w:val="Footer"/>
    <w:basedOn w:val="Normal"/>
    <w:link w:val="Style11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before="0" w:after="0"/>
    </w:pPr>
    <w:rPr/>
  </w:style>
  <w:style w:type="paragraph" w:styleId="Style18" w:customStyle="1">
    <w:name w:val="Пункт"/>
    <w:basedOn w:val="Normal"/>
    <w:qFormat/>
    <w:pPr>
      <w:numPr>
        <w:ilvl w:val="2"/>
        <w:numId w:val="2"/>
      </w:numPr>
    </w:pPr>
    <w:rPr/>
  </w:style>
  <w:style w:type="paragraph" w:styleId="Style19" w:customStyle="1">
    <w:name w:val="Подпункт"/>
    <w:basedOn w:val="Style18"/>
    <w:qFormat/>
    <w:pPr>
      <w:numPr>
        <w:ilvl w:val="3"/>
      </w:numPr>
    </w:pPr>
    <w:rPr/>
  </w:style>
  <w:style w:type="paragraph" w:styleId="Style20" w:customStyle="1">
    <w:name w:val="Подподпункт"/>
    <w:basedOn w:val="Style19"/>
    <w:qFormat/>
    <w:pPr>
      <w:numPr>
        <w:ilvl w:val="4"/>
      </w:numPr>
    </w:pPr>
    <w:rPr/>
  </w:style>
  <w:style w:type="paragraph" w:styleId="ListParagraph">
    <w:name w:val="List Paragraph"/>
    <w:basedOn w:val="Normal"/>
    <w:uiPriority w:val="34"/>
    <w:qFormat/>
    <w:pPr>
      <w:spacing w:before="120" w:after="0"/>
      <w:ind w:left="720" w:hanging="0"/>
      <w:contextualSpacing/>
      <w:jc w:val="left"/>
    </w:pPr>
    <w:rPr>
      <w:rFonts w:ascii="Geneva CY" w:hAnsi="Geneva CY" w:eastAsia="Geneva"/>
      <w:sz w:val="24"/>
      <w:lang w:eastAsia="en-US"/>
    </w:rPr>
  </w:style>
  <w:style w:type="paragraph" w:styleId="Tableheader" w:customStyle="1">
    <w:name w:val="Table_header"/>
    <w:basedOn w:val="Normal"/>
    <w:qFormat/>
    <w:pPr/>
    <w:rPr>
      <w:b/>
      <w:sz w:val="20"/>
      <w:szCs w:val="24"/>
    </w:rPr>
  </w:style>
  <w:style w:type="paragraph" w:styleId="Tabletext" w:customStyle="1">
    <w:name w:val="Table_text"/>
    <w:basedOn w:val="Normal"/>
    <w:qFormat/>
    <w:pPr/>
    <w:rPr>
      <w:sz w:val="20"/>
      <w:szCs w:val="24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9d1a9d"/>
    <w:pPr>
      <w:spacing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13"/>
    <w:uiPriority w:val="99"/>
    <w:semiHidden/>
    <w:unhideWhenUsed/>
    <w:qFormat/>
    <w:rsid w:val="00a91ed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4"/>
    <w:uiPriority w:val="99"/>
    <w:semiHidden/>
    <w:unhideWhenUsed/>
    <w:qFormat/>
    <w:rsid w:val="00a91edb"/>
    <w:pPr/>
    <w:rPr>
      <w:b/>
      <w:bCs/>
    </w:rPr>
  </w:style>
  <w:style w:type="paragraph" w:styleId="Revision">
    <w:name w:val="Revision"/>
    <w:uiPriority w:val="99"/>
    <w:semiHidden/>
    <w:qFormat/>
    <w:rsid w:val="00a91ed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4"/>
    <w:uiPriority w:val="59"/>
    <w:pPr>
      <w:spacing w:before="120"/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AlterOffice/3.4.0.9$Linux_X86_64 LibreOffice_project/b8daf9e823b1a5463a2f48435ddc2e8696e7d4fc</Application>
  <AppVersion>15.0000</AppVersion>
  <Pages>2</Pages>
  <Words>523</Words>
  <Characters>3592</Characters>
  <CharactersWithSpaces>3184</CharactersWithSpaces>
  <Paragraphs>41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2026-08-14T07:44:00Z</dcterms:created>
  <dc:creator>Грибова Елена Владимировна</dc:creator>
  <dc:description/>
  <dc:language>ru-RU</dc:language>
  <cp:lastModifiedBy>apsuvaevako@corp.gidroogk.com</cp:lastModifiedBy>
  <dcterms:modified xsi:type="dcterms:W3CDTF">2026-10-08T13:02:50Z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9D7BEA432FC14971BA2E5B7A2D63D32B_13</vt:lpwstr>
  </property>
  <property fmtid="{D5CDD505-2E9C-101B-9397-08002B2CF9AE}" pid="3" name="KSOProductBuildVer">
    <vt:lpwstr>1049-12.2.0.23155</vt:lpwstr>
  </property>
</Properties>
</file>