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480" w:after="0"/>
        <w:jc w:val="center"/>
        <w:rPr/>
      </w:pPr>
      <w:r>
        <w:rPr>
          <w:sz w:val="28"/>
          <w:szCs w:val="28"/>
        </w:rPr>
        <w:t>Извещение о проведении открытого аукциона в электронной форме по продаже имущества АО «Усть-СреднеканГЭСстрой»</w:t>
      </w:r>
    </w:p>
    <w:p>
      <w:pPr>
        <w:pStyle w:val="Normal"/>
        <w:rPr/>
      </w:pPr>
      <w:r>
        <w:rPr/>
      </w:r>
    </w:p>
    <w:p>
      <w:pPr>
        <w:pStyle w:val="Tableheader"/>
        <w:widowControl w:val="false"/>
        <w:ind w:firstLine="540"/>
        <w:rPr>
          <w:b w:val="false"/>
          <w:sz w:val="24"/>
        </w:rPr>
      </w:pPr>
      <w:r>
        <w:rPr>
          <w:i/>
          <w:sz w:val="24"/>
        </w:rPr>
        <w:t>Продавец</w:t>
      </w:r>
      <w:r>
        <w:rPr>
          <w:b w:val="false"/>
          <w:sz w:val="24"/>
        </w:rPr>
        <w:t>: АО «Усть-СреднеканГЭСстрой», адрес местонахождения: Хабаровский край, г. Хабаровск, ул. Ленина, д. 57, помещ. IV (23-58), почтовый адрес: 680017, г. Хабаровск, ул. Ленина, д. 57, 4 эт., литера А1, пом. IV, адрес электронной почты: usges@usges.ru, контактный телефон: 8-4212-45-35-45.</w:t>
      </w:r>
    </w:p>
    <w:p>
      <w:pPr>
        <w:pStyle w:val="Tableheader"/>
        <w:widowControl w:val="false"/>
        <w:ind w:firstLine="540"/>
        <w:rPr>
          <w:b w:val="false"/>
          <w:sz w:val="24"/>
        </w:rPr>
      </w:pPr>
      <w:r>
        <w:rPr>
          <w:i/>
          <w:sz w:val="24"/>
        </w:rPr>
        <w:t>Организатор продажи</w:t>
      </w:r>
      <w:r>
        <w:rPr>
          <w:b w:val="false"/>
          <w:sz w:val="24"/>
        </w:rPr>
        <w:t>: АО «Усть-СреднеканГЭСстрой», адрес местонахождения: Хабаровский край, г. Хабаровск, ул. Ленина, д. 57, помещ. IV (23-58), почтовый адрес: 680017, г. Хабаровск, ул. Ленина, д. 57, 4 эт., литера А1, пом. IV, адрес электронной почты: usges@usges.ru, контактный телефон: 8-4212-45-35-45.</w:t>
      </w:r>
    </w:p>
    <w:p>
      <w:pPr>
        <w:pStyle w:val="Tableheader"/>
        <w:widowControl w:val="false"/>
        <w:ind w:firstLine="540"/>
        <w:rPr>
          <w:b w:val="false"/>
          <w:sz w:val="24"/>
        </w:rPr>
      </w:pPr>
      <w:r>
        <w:rPr>
          <w:i/>
          <w:sz w:val="24"/>
        </w:rPr>
        <w:t>Продавец (организатор продажи)</w:t>
      </w:r>
      <w:r>
        <w:rPr>
          <w:b w:val="false"/>
          <w:sz w:val="24"/>
        </w:rPr>
        <w:t>: АО «Усть-СреднеканГЭСстрой», адрес местонахождения: Хабаровский край, г. Хабаровск, ул. Ленина, д. 57, помещ. IV (23-58), почтовый адрес: 680017, г. Хабаровск, ул. Ленина, д. 57, 4 эт., литера А1, пом. IV, адрес электронной почты: usges@usges.ru, контактный телефон: 8-924-692-00-44.</w:t>
      </w:r>
    </w:p>
    <w:p>
      <w:pPr>
        <w:pStyle w:val="Tableheader"/>
        <w:widowControl w:val="false"/>
        <w:ind w:firstLine="540"/>
        <w:rPr>
          <w:b w:val="false"/>
          <w:bCs/>
          <w:sz w:val="24"/>
        </w:rPr>
      </w:pPr>
      <w:r>
        <w:rPr>
          <w:i/>
          <w:sz w:val="24"/>
        </w:rPr>
        <w:t>Предмет продажи:</w:t>
      </w:r>
      <w:r>
        <w:rPr>
          <w:sz w:val="24"/>
        </w:rPr>
        <w:t xml:space="preserve"> </w:t>
      </w:r>
      <w:r>
        <w:rPr>
          <w:b w:val="false"/>
          <w:bCs/>
          <w:sz w:val="24"/>
        </w:rPr>
        <w:t>БСУ (бетонный завод).</w:t>
      </w:r>
    </w:p>
    <w:p>
      <w:pPr>
        <w:pStyle w:val="Normal"/>
        <w:ind w:firstLine="540"/>
        <w:rPr>
          <w:i/>
          <w:i/>
          <w:sz w:val="24"/>
          <w:szCs w:val="24"/>
          <w:shd w:fill="FFFF99" w:val="clear"/>
        </w:rPr>
      </w:pPr>
      <w:r>
        <w:rPr>
          <w:b/>
          <w:i/>
          <w:sz w:val="24"/>
          <w:szCs w:val="24"/>
        </w:rPr>
        <w:t>Адрес местонахождения предмета продажи:</w:t>
      </w:r>
      <w:r>
        <w:rPr>
          <w:sz w:val="24"/>
          <w:szCs w:val="24"/>
        </w:rPr>
        <w:t xml:space="preserve"> Магаданская область, р-н Среднеканский, п. Усть-Среднекан</w:t>
      </w:r>
    </w:p>
    <w:p>
      <w:pPr>
        <w:pStyle w:val="Tableheader"/>
        <w:widowControl w:val="false"/>
        <w:numPr>
          <w:ilvl w:val="0"/>
          <w:numId w:val="3"/>
        </w:numPr>
        <w:rPr>
          <w:b w:val="false"/>
          <w:bCs/>
          <w:sz w:val="24"/>
        </w:rPr>
      </w:pPr>
      <w:r>
        <w:rPr>
          <w:i/>
          <w:sz w:val="24"/>
        </w:rPr>
        <w:t>Краткое описание Предмета продажи:</w:t>
      </w:r>
      <w:r>
        <w:rPr>
          <w:sz w:val="24"/>
        </w:rPr>
        <w:t xml:space="preserve"> </w:t>
      </w:r>
    </w:p>
    <w:p>
      <w:pPr>
        <w:pStyle w:val="Tableheader"/>
        <w:widowControl w:val="false"/>
        <w:numPr>
          <w:ilvl w:val="0"/>
          <w:numId w:val="3"/>
        </w:numPr>
        <w:ind w:firstLine="600" w:left="0"/>
        <w:rPr>
          <w:b w:val="false"/>
          <w:bCs/>
          <w:sz w:val="24"/>
        </w:rPr>
      </w:pPr>
      <w:r>
        <w:rPr>
          <w:b w:val="false"/>
          <w:bCs/>
          <w:sz w:val="24"/>
        </w:rPr>
        <w:t xml:space="preserve">Бетонный завод (БСУ) с кадастровым номером </w:t>
      </w:r>
      <w:r>
        <w:rPr>
          <w:b w:val="false"/>
          <w:sz w:val="24"/>
        </w:rPr>
        <w:t>49:04:000000:774, площадью 2 284,3 кв.м.</w:t>
      </w:r>
    </w:p>
    <w:p>
      <w:pPr>
        <w:pStyle w:val="Tableheader"/>
        <w:widowControl w:val="false"/>
        <w:ind w:firstLine="600"/>
        <w:rPr>
          <w:b w:val="false"/>
          <w:bCs/>
          <w:sz w:val="24"/>
        </w:rPr>
      </w:pPr>
      <w:r>
        <w:rPr>
          <w:b w:val="false"/>
          <w:bCs/>
          <w:sz w:val="24"/>
        </w:rPr>
        <w:t>Предмет продажи расположен на земельном участке с кадастровым номером 49:04:000001:34, общей площадью 1 331 911 +/- 2025  кв. м. Земельный участок арендуется у АО «Усть-Среднеканская ГЭС им. А.Ф.Дьякова» на основании Договора субаренды земельного участка №552 от 01.07.2024 г.</w:t>
      </w:r>
    </w:p>
    <w:p>
      <w:pPr>
        <w:pStyle w:val="Normal"/>
        <w:ind w:firstLine="540"/>
        <w:rPr>
          <w:bCs/>
          <w:iCs/>
          <w:sz w:val="24"/>
          <w:szCs w:val="24"/>
        </w:rPr>
      </w:pPr>
      <w:r>
        <w:rPr>
          <w:b/>
          <w:i/>
          <w:sz w:val="24"/>
          <w:szCs w:val="24"/>
        </w:rPr>
        <w:t xml:space="preserve">Обременения: </w:t>
      </w:r>
      <w:r>
        <w:rPr>
          <w:bCs/>
          <w:iCs/>
          <w:sz w:val="24"/>
          <w:szCs w:val="24"/>
        </w:rPr>
        <w:t xml:space="preserve">Отсутствуют </w:t>
      </w:r>
    </w:p>
    <w:p>
      <w:pPr>
        <w:pStyle w:val="Caption11"/>
        <w:ind w:firstLine="567"/>
        <w:rPr>
          <w:rFonts w:eastAsia="Lucida Sans Unicode"/>
          <w:kern w:val="2"/>
          <w:shd w:fill="FFFF99" w:val="clear"/>
        </w:rPr>
      </w:pPr>
      <w:r>
        <w:rPr>
          <w:b/>
        </w:rPr>
        <w:t>Начальная цена продажи</w:t>
      </w:r>
      <w:r>
        <w:rPr>
          <w:i w:val="false"/>
          <w:iCs w:val="false"/>
        </w:rPr>
        <w:t>: 24 888 000 (двадцать четыре миллиона восемьсот восемьдесят восемь тысяч) рублей 00 копеек, в том числе НДС по действующей ставке, установленной пунктом 3 статьи 164 Налогового кодекса РФ .</w:t>
      </w:r>
    </w:p>
    <w:p>
      <w:pPr>
        <w:pStyle w:val="Normal"/>
        <w:ind w:firstLine="567"/>
        <w:rPr>
          <w:sz w:val="24"/>
          <w:szCs w:val="24"/>
        </w:rPr>
      </w:pPr>
      <w:r>
        <w:rPr>
          <w:b/>
          <w:i/>
          <w:sz w:val="24"/>
          <w:szCs w:val="24"/>
        </w:rPr>
        <w:t>«Шаг» аукциона:</w:t>
      </w:r>
      <w:r>
        <w:rPr>
          <w:sz w:val="24"/>
          <w:szCs w:val="24"/>
        </w:rPr>
        <w:t xml:space="preserve"> 1 % от начальной цены продажи, указанной в настоящем Извещении, что составляет 248 880 (двести сорок восемь тысяч восемьсот восемьдесят) рублей 00 копеек, в том числе НДС по действующей ставке, установленной пунктом 3 статьи 164 Налогового кодекса РФ.</w:t>
      </w:r>
    </w:p>
    <w:p>
      <w:pPr>
        <w:pStyle w:val="Normal"/>
        <w:ind w:firstLine="567"/>
        <w:rPr>
          <w:sz w:val="24"/>
          <w:szCs w:val="24"/>
        </w:rPr>
      </w:pPr>
      <w:r>
        <w:rPr>
          <w:b/>
          <w:i/>
          <w:iCs/>
          <w:sz w:val="24"/>
          <w:szCs w:val="24"/>
        </w:rPr>
        <w:t>Размер задатка</w:t>
      </w:r>
      <w:r>
        <w:rPr>
          <w:i/>
          <w:iCs/>
          <w:sz w:val="24"/>
          <w:szCs w:val="24"/>
        </w:rPr>
        <w:t>:</w:t>
      </w:r>
      <w:r>
        <w:rPr>
          <w:sz w:val="24"/>
          <w:szCs w:val="24"/>
        </w:rPr>
        <w:t xml:space="preserve"> 746 640 (семьсот сорок шесть тысяч шестьсот сорок) рублей 00 копеек, в том числе НДС по действующей ставке, установленной пунктом 3 статьи 164 Налогового кодекса РФ. </w:t>
      </w:r>
    </w:p>
    <w:p>
      <w:pPr>
        <w:pStyle w:val="Normal"/>
        <w:ind w:firstLine="540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Срок и порядок внесения задатка: </w:t>
      </w:r>
      <w:r>
        <w:rPr>
          <w:sz w:val="24"/>
          <w:szCs w:val="24"/>
        </w:rPr>
        <w:t>с начала приема заявок по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«01» декабря 2026 г.</w:t>
      </w:r>
    </w:p>
    <w:p>
      <w:pPr>
        <w:pStyle w:val="Normal"/>
        <w:ind w:firstLine="540"/>
        <w:rPr>
          <w:sz w:val="24"/>
          <w:szCs w:val="24"/>
        </w:rPr>
      </w:pPr>
      <w:r>
        <w:rPr>
          <w:sz w:val="24"/>
          <w:szCs w:val="24"/>
        </w:rPr>
        <w:t>Информация об условиях внесения задатка приведена в Документации о продаже.</w:t>
      </w:r>
    </w:p>
    <w:p>
      <w:pPr>
        <w:pStyle w:val="Normal"/>
        <w:ind w:firstLine="540"/>
        <w:rPr>
          <w:sz w:val="24"/>
          <w:szCs w:val="24"/>
        </w:rPr>
      </w:pPr>
      <w:r>
        <w:rPr>
          <w:b/>
          <w:i/>
          <w:sz w:val="24"/>
          <w:szCs w:val="24"/>
        </w:rPr>
        <w:t>Дата и время начала подачи Заявок</w:t>
      </w:r>
      <w:r>
        <w:rPr>
          <w:sz w:val="24"/>
          <w:szCs w:val="24"/>
        </w:rPr>
        <w:t xml:space="preserve">: «20» октября 2026 г. 17 ч.00 мин. (по местному времени Продавца) </w:t>
      </w:r>
    </w:p>
    <w:p>
      <w:pPr>
        <w:pStyle w:val="Normal"/>
        <w:ind w:firstLine="540"/>
        <w:rPr>
          <w:sz w:val="24"/>
          <w:szCs w:val="24"/>
        </w:rPr>
      </w:pPr>
      <w:r>
        <w:rPr>
          <w:b/>
          <w:i/>
          <w:sz w:val="24"/>
          <w:szCs w:val="24"/>
        </w:rPr>
        <w:t>Дата и время окончания подачи Заявок</w:t>
      </w:r>
      <w:r>
        <w:rPr>
          <w:i/>
          <w:sz w:val="24"/>
          <w:szCs w:val="24"/>
        </w:rPr>
        <w:t xml:space="preserve">: </w:t>
      </w:r>
      <w:r>
        <w:rPr>
          <w:sz w:val="24"/>
          <w:szCs w:val="24"/>
        </w:rPr>
        <w:t xml:space="preserve">«01» декабря2026 г. 17 ч. 00 мин. (по местному времени Продавца) </w:t>
      </w:r>
    </w:p>
    <w:p>
      <w:pPr>
        <w:pStyle w:val="Normal"/>
        <w:ind w:firstLine="540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Дата окончания рассмотрения Заявок</w:t>
      </w:r>
      <w:r>
        <w:rPr>
          <w:i/>
          <w:sz w:val="24"/>
          <w:szCs w:val="24"/>
        </w:rPr>
        <w:t xml:space="preserve">: </w:t>
      </w:r>
      <w:r>
        <w:rPr>
          <w:sz w:val="24"/>
          <w:szCs w:val="24"/>
        </w:rPr>
        <w:t>«03» декабря 2026 г.</w:t>
      </w:r>
    </w:p>
    <w:p>
      <w:pPr>
        <w:pStyle w:val="Normal"/>
        <w:ind w:firstLine="540"/>
        <w:rPr>
          <w:rFonts w:eastAsia="Lucida Sans Unicode"/>
          <w:i/>
          <w:i/>
          <w:kern w:val="2"/>
          <w:sz w:val="24"/>
          <w:szCs w:val="24"/>
          <w:shd w:fill="FFFF99" w:val="clear"/>
        </w:rPr>
      </w:pPr>
      <w:r>
        <w:rPr>
          <w:b/>
          <w:i/>
          <w:sz w:val="24"/>
          <w:szCs w:val="24"/>
        </w:rPr>
        <w:t>Дата и время проведения Аукциона:</w:t>
      </w:r>
      <w:r>
        <w:rPr>
          <w:sz w:val="24"/>
          <w:szCs w:val="24"/>
        </w:rPr>
        <w:t xml:space="preserve"> «07» декабря 2026 г. 17 ч. 00 мин. (по местному времени Продавца)</w:t>
      </w:r>
    </w:p>
    <w:p>
      <w:pPr>
        <w:pStyle w:val="Normal"/>
        <w:ind w:firstLine="540"/>
        <w:rPr>
          <w:sz w:val="24"/>
          <w:szCs w:val="24"/>
        </w:rPr>
      </w:pPr>
      <w:r>
        <w:rPr>
          <w:b/>
          <w:i/>
          <w:sz w:val="24"/>
          <w:szCs w:val="24"/>
        </w:rPr>
        <w:t>Время ожидания ценового предложения Участника:</w:t>
      </w:r>
      <w:r>
        <w:rPr>
          <w:sz w:val="24"/>
          <w:szCs w:val="24"/>
        </w:rPr>
        <w:t xml:space="preserve"> 30 (тридцать) минут от времени начала проведения аукциона.</w:t>
      </w:r>
    </w:p>
    <w:p>
      <w:pPr>
        <w:pStyle w:val="Normal"/>
        <w:ind w:firstLine="540"/>
        <w:rPr>
          <w:rFonts w:eastAsia="Lucida Sans Unicode"/>
          <w:i/>
          <w:i/>
          <w:kern w:val="2"/>
          <w:sz w:val="24"/>
          <w:szCs w:val="24"/>
          <w:shd w:fill="FFFF99" w:val="clear"/>
        </w:rPr>
      </w:pPr>
      <w:r>
        <w:rPr>
          <w:b/>
          <w:i/>
          <w:sz w:val="24"/>
          <w:szCs w:val="24"/>
        </w:rPr>
        <w:t>Дата и время подведения итогов Аукциона:</w:t>
      </w:r>
      <w:r>
        <w:rPr>
          <w:sz w:val="24"/>
          <w:szCs w:val="24"/>
        </w:rPr>
        <w:t xml:space="preserve"> «09» декабря 2026</w:t>
      </w:r>
      <w:bookmarkStart w:id="0" w:name="_GoBack"/>
      <w:bookmarkEnd w:id="0"/>
      <w:r>
        <w:rPr>
          <w:sz w:val="24"/>
          <w:szCs w:val="24"/>
        </w:rPr>
        <w:t>г. в 17 ч. 00 мин (по местному времени Продавца)</w:t>
      </w:r>
    </w:p>
    <w:p>
      <w:pPr>
        <w:pStyle w:val="Normal"/>
        <w:ind w:firstLine="540"/>
        <w:rPr>
          <w:rFonts w:eastAsia="Lucida Sans Unicode"/>
          <w:i/>
          <w:i/>
          <w:kern w:val="2"/>
          <w:sz w:val="24"/>
          <w:szCs w:val="24"/>
          <w:shd w:fill="FFFF99" w:val="clear"/>
        </w:rPr>
      </w:pPr>
      <w:r>
        <w:rPr>
          <w:b/>
          <w:i/>
          <w:sz w:val="24"/>
          <w:szCs w:val="24"/>
        </w:rPr>
        <w:t xml:space="preserve">Место подведения итогов: </w:t>
      </w:r>
      <w:r>
        <w:rPr>
          <w:sz w:val="24"/>
          <w:szCs w:val="24"/>
        </w:rPr>
        <w:t xml:space="preserve">по адресу Продавца </w:t>
      </w:r>
    </w:p>
    <w:p>
      <w:pPr>
        <w:pStyle w:val="Normal"/>
        <w:ind w:firstLine="540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ind w:firstLine="540"/>
        <w:rPr>
          <w:sz w:val="24"/>
          <w:szCs w:val="24"/>
        </w:rPr>
      </w:pPr>
      <w:r>
        <w:rPr>
          <w:b/>
          <w:i/>
          <w:sz w:val="24"/>
          <w:szCs w:val="24"/>
        </w:rPr>
        <w:t>Наименование и адрес электронной торговой площадки для подачи Заявок:</w:t>
      </w:r>
      <w:r>
        <w:rPr>
          <w:sz w:val="24"/>
          <w:szCs w:val="24"/>
        </w:rPr>
        <w:t xml:space="preserve">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Акционерное общество «Российский аукционный дом» (АО «РАД»), </w:t>
      </w:r>
      <w:hyperlink r:id="rId2">
        <w:r>
          <w:rPr>
            <w:rStyle w:val="Hyperlink"/>
            <w:sz w:val="24"/>
            <w:szCs w:val="24"/>
          </w:rPr>
          <w:t>https://lot-online.ru</w:t>
        </w:r>
      </w:hyperlink>
      <w:r>
        <w:rPr>
          <w:sz w:val="24"/>
          <w:szCs w:val="24"/>
        </w:rPr>
        <w:t xml:space="preserve"> </w:t>
      </w:r>
    </w:p>
    <w:p>
      <w:pPr>
        <w:pStyle w:val="Normal"/>
        <w:ind w:firstLine="540"/>
        <w:rPr>
          <w:sz w:val="24"/>
          <w:szCs w:val="24"/>
        </w:rPr>
      </w:pPr>
      <w:r>
        <w:rPr>
          <w:b/>
          <w:i/>
          <w:sz w:val="24"/>
          <w:szCs w:val="24"/>
        </w:rPr>
        <w:t>Порядок и форма подачи Заявок:</w:t>
      </w:r>
      <w:r>
        <w:rPr>
          <w:sz w:val="24"/>
          <w:szCs w:val="24"/>
        </w:rPr>
        <w:t xml:space="preserve"> информация приведена в Документации о продаже.</w:t>
      </w:r>
    </w:p>
    <w:p>
      <w:pPr>
        <w:pStyle w:val="Normal"/>
        <w:ind w:firstLine="540"/>
        <w:rPr>
          <w:sz w:val="24"/>
          <w:szCs w:val="24"/>
        </w:rPr>
      </w:pPr>
      <w:r>
        <w:rPr>
          <w:b/>
          <w:i/>
          <w:sz w:val="24"/>
          <w:szCs w:val="24"/>
        </w:rPr>
        <w:t>Участники Аукциона</w:t>
      </w:r>
      <w:r>
        <w:rPr>
          <w:sz w:val="24"/>
          <w:szCs w:val="24"/>
        </w:rPr>
        <w:t xml:space="preserve">: 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</w:r>
      <w:r>
        <w:rPr>
          <w:color w:val="000000"/>
          <w:sz w:val="24"/>
          <w:szCs w:val="24"/>
        </w:rPr>
        <w:t>чья заявка признана соответствующей требованиям Документации о продаже.</w:t>
      </w:r>
    </w:p>
    <w:p>
      <w:pPr>
        <w:pStyle w:val="Tableheader"/>
        <w:widowControl w:val="false"/>
        <w:ind w:firstLine="540"/>
        <w:rPr>
          <w:b w:val="false"/>
          <w:sz w:val="24"/>
        </w:rPr>
      </w:pPr>
      <w:r>
        <w:rPr>
          <w:i/>
          <w:sz w:val="24"/>
        </w:rPr>
        <w:t>Порядок подведения итогов Аукциона:</w:t>
      </w:r>
      <w:r>
        <w:rPr>
          <w:sz w:val="24"/>
        </w:rPr>
        <w:t xml:space="preserve"> </w:t>
      </w:r>
      <w:r>
        <w:rPr>
          <w:b w:val="false"/>
          <w:sz w:val="24"/>
        </w:rPr>
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 Победителем Аукциона признается Участник, предложивший наиболее высокую цену Договора.</w:t>
      </w:r>
    </w:p>
    <w:p>
      <w:pPr>
        <w:pStyle w:val="Tableheader"/>
        <w:widowControl w:val="false"/>
        <w:ind w:firstLine="630"/>
        <w:rPr>
          <w:b w:val="false"/>
          <w:sz w:val="24"/>
        </w:rPr>
      </w:pPr>
      <w:r>
        <w:rPr>
          <w:b w:val="false"/>
          <w:sz w:val="24"/>
        </w:rPr>
        <w:t>Описание условий и процедур проводимого Аукциона, порядок ознакомления Участников с иной информацией, ограничения участия в аукционе, срок и условия заключения договора купли-продажи, содержится в Документации о продаже.</w:t>
      </w:r>
    </w:p>
    <w:p>
      <w:pPr>
        <w:pStyle w:val="Tableheader"/>
        <w:widowControl w:val="false"/>
        <w:ind w:firstLine="630"/>
        <w:rPr>
          <w:sz w:val="24"/>
        </w:rPr>
      </w:pPr>
      <w:r>
        <w:rPr>
          <w:sz w:val="24"/>
        </w:rPr>
      </w:r>
    </w:p>
    <w:p>
      <w:pPr>
        <w:pStyle w:val="Tableheader"/>
        <w:widowControl w:val="false"/>
        <w:ind w:firstLine="630"/>
        <w:rPr>
          <w:b w:val="false"/>
          <w:sz w:val="24"/>
        </w:rPr>
      </w:pPr>
      <w:r>
        <w:rPr>
          <w:sz w:val="24"/>
          <w:u w:val="single"/>
        </w:rPr>
        <w:t xml:space="preserve">Документация о продаже официально опубликована на сайте электронной торговой площадки в сети «Интернет» </w:t>
      </w:r>
      <w:hyperlink r:id="rId3">
        <w:r>
          <w:rPr>
            <w:rStyle w:val="Hyperlink"/>
            <w:sz w:val="24"/>
          </w:rPr>
          <w:t>https://lot-online.ru</w:t>
        </w:r>
      </w:hyperlink>
      <w:r>
        <w:rPr>
          <w:rStyle w:val="Hyperlink"/>
          <w:b w:val="false"/>
          <w:color w:val="auto"/>
          <w:sz w:val="24"/>
          <w:u w:val="none"/>
        </w:rPr>
        <w:t xml:space="preserve"> </w:t>
      </w:r>
    </w:p>
    <w:sectPr>
      <w:type w:val="nextPage"/>
      <w:pgSz w:w="11906" w:h="16838"/>
      <w:pgMar w:left="1701" w:right="850" w:gutter="0" w:header="0" w:top="99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neva CY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560" w:hanging="1134"/>
      </w:pPr>
      <w:rPr>
        <w:sz w:val="26"/>
        <w:i w:val="false"/>
        <w:b/>
        <w:szCs w:val="26"/>
      </w:rPr>
    </w:lvl>
    <w:lvl w:ilvl="2">
      <w:start w:val="1"/>
      <w:numFmt w:val="decimal"/>
      <w:lvlText w:val="%1.%2.%3"/>
      <w:lvlJc w:val="left"/>
      <w:pPr>
        <w:tabs>
          <w:tab w:val="num" w:pos="4962"/>
        </w:tabs>
        <w:ind w:left="4962" w:hanging="1134"/>
      </w:pPr>
      <w:rPr>
        <w:sz w:val="26"/>
        <w:i w:val="false"/>
        <w:b w:val="false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i w:val="false"/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9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12e1b"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612e1b"/>
    <w:pPr>
      <w:keepNext w:val="true"/>
      <w:keepLines/>
      <w:pageBreakBefore/>
      <w:numPr>
        <w:ilvl w:val="0"/>
        <w:numId w:val="2"/>
      </w:numPr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Heading2">
    <w:name w:val="Heading 2"/>
    <w:basedOn w:val="Normal"/>
    <w:next w:val="Normal"/>
    <w:link w:val="2"/>
    <w:qFormat/>
    <w:rsid w:val="00612e1b"/>
    <w:pPr>
      <w:keepNext w:val="true"/>
      <w:numPr>
        <w:ilvl w:val="1"/>
        <w:numId w:val="2"/>
      </w:numPr>
      <w:spacing w:before="360" w:after="120"/>
      <w:jc w:val="left"/>
      <w:outlineLvl w:val="1"/>
    </w:pPr>
    <w:rPr>
      <w:b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612e1b"/>
    <w:rPr>
      <w:rFonts w:ascii="Arial" w:hAnsi="Arial" w:eastAsia="Times New Roman" w:cs="Times New Roman"/>
      <w:b/>
      <w:kern w:val="2"/>
      <w:sz w:val="40"/>
      <w:szCs w:val="26"/>
      <w:lang w:eastAsia="ru-RU"/>
    </w:rPr>
  </w:style>
  <w:style w:type="character" w:styleId="2" w:customStyle="1">
    <w:name w:val="Заголовок 2 Знак"/>
    <w:basedOn w:val="DefaultParagraphFont"/>
    <w:qFormat/>
    <w:rsid w:val="00612e1b"/>
    <w:rPr>
      <w:rFonts w:ascii="Times New Roman" w:hAnsi="Times New Roman" w:eastAsia="Times New Roman" w:cs="Times New Roman"/>
      <w:b/>
      <w:sz w:val="32"/>
      <w:szCs w:val="26"/>
      <w:lang w:eastAsia="ru-RU"/>
    </w:rPr>
  </w:style>
  <w:style w:type="character" w:styleId="Hyperlink">
    <w:name w:val="Hyperlink"/>
    <w:uiPriority w:val="99"/>
    <w:rsid w:val="00612e1b"/>
    <w:rPr>
      <w:color w:val="0000FF"/>
      <w:u w:val="single"/>
    </w:rPr>
  </w:style>
  <w:style w:type="character" w:styleId="Style7" w:customStyle="1">
    <w:name w:val="комментарий"/>
    <w:qFormat/>
    <w:rsid w:val="00612e1b"/>
    <w:rPr>
      <w:b/>
      <w:i/>
      <w:shd w:fill="FFFF99" w:val="clear"/>
    </w:rPr>
  </w:style>
  <w:style w:type="character" w:styleId="Style8" w:customStyle="1">
    <w:name w:val="Текст сноски Знак"/>
    <w:basedOn w:val="DefaultParagraphFont"/>
    <w:uiPriority w:val="99"/>
    <w:semiHidden/>
    <w:qFormat/>
    <w:rsid w:val="00612e1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Символ сноски"/>
    <w:uiPriority w:val="99"/>
    <w:semiHidden/>
    <w:unhideWhenUsed/>
    <w:qFormat/>
    <w:rsid w:val="00612e1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7e2ff8"/>
    <w:rPr>
      <w:color w:val="605E5C"/>
      <w:shd w:fill="E1DFDD" w:val="clear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542f04"/>
    <w:rPr>
      <w:rFonts w:ascii="Segoe UI" w:hAnsi="Segoe UI" w:eastAsia="Times New Roman" w:cs="Segoe UI"/>
      <w:sz w:val="18"/>
      <w:szCs w:val="18"/>
      <w:lang w:eastAsia="ru-RU"/>
    </w:rPr>
  </w:style>
  <w:style w:type="character" w:styleId="LineNumber">
    <w:name w:val="Line Number"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 w:customStyle="1">
    <w:name w:val="Пункт"/>
    <w:basedOn w:val="Normal"/>
    <w:qFormat/>
    <w:rsid w:val="00612e1b"/>
    <w:pPr>
      <w:numPr>
        <w:ilvl w:val="2"/>
        <w:numId w:val="2"/>
      </w:numPr>
    </w:pPr>
    <w:rPr/>
  </w:style>
  <w:style w:type="paragraph" w:styleId="Style14" w:customStyle="1">
    <w:name w:val="Подпункт"/>
    <w:basedOn w:val="Style13"/>
    <w:qFormat/>
    <w:rsid w:val="00612e1b"/>
    <w:pPr>
      <w:numPr>
        <w:ilvl w:val="3"/>
      </w:numPr>
    </w:pPr>
    <w:rPr/>
  </w:style>
  <w:style w:type="paragraph" w:styleId="Style15" w:customStyle="1">
    <w:name w:val="Подподпункт"/>
    <w:basedOn w:val="Style14"/>
    <w:qFormat/>
    <w:rsid w:val="00612e1b"/>
    <w:pPr>
      <w:numPr>
        <w:ilvl w:val="4"/>
      </w:numPr>
    </w:pPr>
    <w:rPr/>
  </w:style>
  <w:style w:type="paragraph" w:styleId="ListParagraph">
    <w:name w:val="List Paragraph"/>
    <w:basedOn w:val="Normal"/>
    <w:uiPriority w:val="34"/>
    <w:qFormat/>
    <w:rsid w:val="00612e1b"/>
    <w:pPr>
      <w:spacing w:before="120" w:after="0"/>
      <w:ind w:hanging="0" w:left="720"/>
      <w:contextualSpacing/>
      <w:jc w:val="left"/>
    </w:pPr>
    <w:rPr>
      <w:rFonts w:ascii="Geneva CY" w:hAnsi="Geneva CY" w:eastAsia="Geneva"/>
      <w:sz w:val="24"/>
      <w:lang w:eastAsia="en-US"/>
    </w:rPr>
  </w:style>
  <w:style w:type="paragraph" w:styleId="Tableheader" w:customStyle="1">
    <w:name w:val="Table_header"/>
    <w:basedOn w:val="Normal"/>
    <w:qFormat/>
    <w:rsid w:val="00612e1b"/>
    <w:pPr/>
    <w:rPr>
      <w:b/>
      <w:sz w:val="20"/>
      <w:szCs w:val="24"/>
    </w:rPr>
  </w:style>
  <w:style w:type="paragraph" w:styleId="Tabletext" w:customStyle="1">
    <w:name w:val="Table_text"/>
    <w:basedOn w:val="Normal"/>
    <w:qFormat/>
    <w:rsid w:val="00612e1b"/>
    <w:pPr/>
    <w:rPr>
      <w:sz w:val="20"/>
      <w:szCs w:val="24"/>
    </w:rPr>
  </w:style>
  <w:style w:type="paragraph" w:styleId="FootnoteText">
    <w:name w:val="Footnote Text"/>
    <w:basedOn w:val="Normal"/>
    <w:link w:val="Style8"/>
    <w:uiPriority w:val="99"/>
    <w:semiHidden/>
    <w:unhideWhenUsed/>
    <w:rsid w:val="00612e1b"/>
    <w:pPr>
      <w:spacing w:before="0" w:after="0"/>
    </w:pPr>
    <w:rPr>
      <w:sz w:val="20"/>
      <w:szCs w:val="20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542f04"/>
    <w:pPr>
      <w:spacing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https://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Application>AlterOffice/2026.2.1.1$Linux_X86_64 LibreOffice_project/6d96de8aff889cb0e33766577a7a2a9f4fe0f9d5</Application>
  <AppVersion>15.0000</AppVersion>
  <Pages>2</Pages>
  <Words>564</Words>
  <Characters>3709</Characters>
  <CharactersWithSpaces>4252</CharactersWithSpaces>
  <Paragraphs>29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2025-10-06T02:36:00Z</dcterms:created>
  <dc:creator>Грибова Елена Владимировна</dc:creator>
  <dc:description/>
  <dc:language>ru-RU</dc:language>
  <cp:lastModifiedBy>kotova_ea</cp:lastModifiedBy>
  <dcterms:modified xsi:type="dcterms:W3CDTF">2026-10-20T15:09:05Z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