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480" w:after="0"/>
        <w:jc w:val="center"/>
        <w:rPr/>
      </w:pPr>
      <w:r>
        <w:rPr>
          <w:b/>
          <w:bCs/>
        </w:rPr>
        <w:t>Извещение о проведении открытого аукциона в электронной форме по продаже имущества АО «Нижне-Бурейская ГЭС»</w:t>
      </w:r>
    </w:p>
    <w:p>
      <w:pPr>
        <w:pStyle w:val="Tableheader"/>
        <w:widowControl w:val="false"/>
        <w:ind w:firstLine="540"/>
        <w:rPr/>
      </w:pPr>
      <w:r>
        <w:rPr>
          <w:i/>
          <w:sz w:val="26"/>
          <w:szCs w:val="26"/>
        </w:rPr>
        <w:t>Продавец (организатор продажи)</w:t>
      </w:r>
      <w:r>
        <w:rPr>
          <w:b w:val="false"/>
          <w:sz w:val="26"/>
          <w:szCs w:val="26"/>
        </w:rPr>
        <w:t xml:space="preserve">: Акционерное общество «Нижне-Бурейская ГЭС»(АО «Нижне-Бурейская ГЭС»). Место нахождения: 676720, Амурская область, Бурейский район, пгт. Новобурейский, мкр. Гидростроителей, строение 2, литер 3. Почтовый адрес: 676722, Амурская область, Бурейский район, пгт. Новобурейский, а/я 19. Адрес электронной почты: </w:t>
      </w:r>
      <w:hyperlink r:id="rId2">
        <w:r>
          <w:rPr>
            <w:rStyle w:val="Hyperlink"/>
            <w:b w:val="false"/>
            <w:sz w:val="26"/>
            <w:szCs w:val="26"/>
          </w:rPr>
          <w:t>office@nbges.rushydro.ru</w:t>
        </w:r>
      </w:hyperlink>
      <w:r>
        <w:rPr>
          <w:rStyle w:val="Hyperlink"/>
          <w:b w:val="false"/>
          <w:sz w:val="26"/>
          <w:szCs w:val="26"/>
        </w:rPr>
        <w:t xml:space="preserve">. </w:t>
      </w:r>
      <w:r>
        <w:rPr>
          <w:b w:val="false"/>
          <w:sz w:val="26"/>
          <w:szCs w:val="26"/>
        </w:rPr>
        <w:t>Контактный телефон: (41634) 2 54 87.</w:t>
      </w:r>
    </w:p>
    <w:p>
      <w:pPr>
        <w:pStyle w:val="Tableheader"/>
        <w:widowControl w:val="false"/>
        <w:spacing w:lineRule="exact" w:line="283"/>
        <w:rPr/>
      </w:pPr>
      <w:r>
        <w:rPr>
          <w:i/>
          <w:sz w:val="26"/>
          <w:szCs w:val="26"/>
        </w:rPr>
        <w:t>Предмет продажи:</w:t>
      </w:r>
      <w:r>
        <w:rPr>
          <w:b w:val="false"/>
          <w:i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>Канализационные очистные сооружения</w:t>
      </w:r>
      <w:r>
        <w:rPr>
          <w:b w:val="false"/>
          <w:color w:val="000000"/>
          <w:sz w:val="26"/>
          <w:szCs w:val="26"/>
        </w:rPr>
        <w:t xml:space="preserve"> </w:t>
      </w:r>
      <w:r>
        <w:rPr>
          <w:b w:val="false"/>
          <w:sz w:val="26"/>
          <w:szCs w:val="26"/>
        </w:rPr>
        <w:t>(Автоматизированный комплекс очистки хоз</w:t>
      </w:r>
      <w:r>
        <w:rPr>
          <w:b w:val="false"/>
          <w:sz w:val="26"/>
          <w:szCs w:val="26"/>
        </w:rPr>
        <w:t>я</w:t>
      </w:r>
      <w:r>
        <w:rPr>
          <w:b w:val="false"/>
          <w:sz w:val="26"/>
          <w:szCs w:val="26"/>
        </w:rPr>
        <w:t>йственно-бытовых сточных вод) ВАЛТРОН-ЭКО-БИО-25:</w:t>
      </w:r>
    </w:p>
    <w:p>
      <w:pPr>
        <w:pStyle w:val="Tableheader"/>
        <w:widowControl w:val="false"/>
        <w:spacing w:lineRule="exact" w:line="283"/>
        <w:rPr/>
      </w:pPr>
      <w:r>
        <w:rPr>
          <w:b w:val="false"/>
          <w:sz w:val="26"/>
          <w:szCs w:val="26"/>
        </w:rPr>
        <w:t>1.1 Автоматизированный комплекс очистных сооружений по типу «ВАЛТРОН-ЭКО-БИО-25» в составе: блок обеззараживания.</w:t>
      </w:r>
    </w:p>
    <w:p>
      <w:pPr>
        <w:pStyle w:val="Tableheader"/>
        <w:widowControl w:val="false"/>
        <w:spacing w:lineRule="exact" w:line="283"/>
        <w:rPr/>
      </w:pPr>
      <w:r>
        <w:rPr>
          <w:b w:val="false"/>
          <w:sz w:val="26"/>
          <w:szCs w:val="26"/>
        </w:rPr>
        <w:t>1.2. Автоматизированный комплекс очистных сооружений по типу «ВАЛТРОН-ЭКО-БИО-25» в составе: Блок основной очистки. Блок доочистки.</w:t>
      </w:r>
    </w:p>
    <w:p>
      <w:pPr>
        <w:pStyle w:val="Tableheader"/>
        <w:widowControl w:val="false"/>
        <w:spacing w:lineRule="exact" w:line="283"/>
        <w:rPr/>
      </w:pPr>
      <w:r>
        <w:rPr>
          <w:b w:val="false"/>
          <w:color w:val="000000"/>
          <w:sz w:val="26"/>
          <w:szCs w:val="26"/>
        </w:rPr>
        <w:t>1.3. Канализационная насосная станция полной заводской готовности производительностью 4-7 м3/час.</w:t>
      </w:r>
    </w:p>
    <w:p>
      <w:pPr>
        <w:pStyle w:val="Normal"/>
        <w:ind w:firstLine="540"/>
        <w:rPr/>
      </w:pPr>
      <w:r>
        <w:rPr>
          <w:b/>
          <w:i/>
        </w:rPr>
        <w:t>Адрес местонахождения предмета продажи:</w:t>
      </w:r>
      <w:r>
        <w:rPr/>
        <w:t xml:space="preserve"> Амурская область, Бурейский район, пгт. Новобурейский, микрорайон Гидростроителей.</w:t>
      </w:r>
    </w:p>
    <w:p>
      <w:pPr>
        <w:pStyle w:val="Normal"/>
        <w:ind w:firstLine="540"/>
        <w:rPr/>
      </w:pPr>
      <w:r>
        <w:rPr>
          <w:b/>
          <w:i/>
        </w:rPr>
        <w:t>Краткое описание Предмета продажи:</w:t>
      </w:r>
      <w:r>
        <w:rPr/>
        <w:t xml:space="preserve"> </w:t>
      </w:r>
    </w:p>
    <w:p>
      <w:pPr>
        <w:pStyle w:val="Tableheader"/>
        <w:widowControl w:val="false"/>
        <w:ind w:firstLine="540"/>
        <w:rPr>
          <w:b w:val="false"/>
          <w:sz w:val="26"/>
          <w:szCs w:val="26"/>
        </w:rPr>
      </w:pPr>
      <w:r>
        <w:rPr>
          <w:b w:val="false"/>
          <w:sz w:val="26"/>
          <w:szCs w:val="26"/>
        </w:rPr>
        <w:t>Канализационные очистные сооружения биологической очистки сточных вод производительностью 25 куб.м./сут. предназначены для очистки хозяйственно-бытовых сточных вод. Габаритные размеры 3,45х15,0х6,22 м. Установленная мощность технологического оборудования 12,2 кВт.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40"/>
        <w:rPr/>
      </w:pPr>
      <w:r>
        <w:rPr>
          <w:b/>
          <w:i/>
        </w:rPr>
        <w:t xml:space="preserve">Обременения: </w:t>
      </w:r>
      <w:r>
        <w:rPr/>
        <w:t>отсутствуют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40"/>
        <w:rPr/>
      </w:pPr>
      <w:r>
        <w:rPr>
          <w:b/>
          <w:bCs/>
          <w:i/>
          <w:color w:val="000000"/>
        </w:rPr>
        <w:t>Начальная цена продажи: 2 643 963</w:t>
      </w:r>
      <w:r>
        <w:rPr>
          <w:color w:val="000000"/>
        </w:rPr>
        <w:t xml:space="preserve"> (два миллиона шестьсот сорок три тысячи девятьсот шестьдесят три) </w:t>
      </w:r>
      <w:r>
        <w:rPr>
          <w:b/>
          <w:bCs/>
          <w:color w:val="000000"/>
        </w:rPr>
        <w:t>рубля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66 копеек</w:t>
      </w:r>
      <w:r>
        <w:rPr>
          <w:color w:val="000000"/>
        </w:rPr>
        <w:t>, с учетом НДС, исчисленного по ставке, установленной пунктом 3 статьи 164 Налогового кодекса Российской Федерации.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40"/>
        <w:rPr/>
      </w:pPr>
      <w:r>
        <w:rPr>
          <w:b/>
          <w:bCs/>
          <w:i/>
        </w:rPr>
        <w:t xml:space="preserve">Шаг аукциона: </w:t>
      </w:r>
      <w:r>
        <w:rPr/>
        <w:t xml:space="preserve">1% от начальной цены продажи, указанной в настоящем Извещении, что составляет </w:t>
      </w:r>
      <w:r>
        <w:rPr>
          <w:b/>
          <w:bCs/>
        </w:rPr>
        <w:t>26 439</w:t>
      </w:r>
      <w:r>
        <w:rPr/>
        <w:t xml:space="preserve"> (двадцать шесть тысяч четыреста тридцать девять) </w:t>
      </w:r>
      <w:r>
        <w:rPr>
          <w:b/>
          <w:bCs/>
        </w:rPr>
        <w:t>рублей 63 копейки,</w:t>
      </w:r>
      <w:r>
        <w:rPr/>
        <w:t xml:space="preserve"> </w:t>
      </w:r>
      <w:r>
        <w:rPr>
          <w:color w:val="000000"/>
        </w:rPr>
        <w:t>с учетом НДС, исчисленного по ставке, установленной пунктом 3 статьи 164 Налогового кодекса Российской Федерации.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540"/>
        <w:rPr/>
      </w:pPr>
      <w:r>
        <w:rPr>
          <w:b/>
          <w:bCs/>
          <w:i/>
          <w:iCs/>
        </w:rPr>
        <w:t>Размер задатка:</w:t>
      </w:r>
      <w:r>
        <w:rPr/>
        <w:t xml:space="preserve"> 122 000 (сто двадцать две тысячи) рублей 00 копеек с учетом НДС,</w:t>
      </w:r>
      <w:r>
        <w:rPr>
          <w:color w:val="000000"/>
        </w:rPr>
        <w:t xml:space="preserve"> исчисленного по ставке, установленной пунктом 3 статьи 164 Налогового кодекса Российской Федерации.</w:t>
      </w:r>
    </w:p>
    <w:p>
      <w:pPr>
        <w:pStyle w:val="Normal"/>
        <w:widowControl w:val="false"/>
        <w:jc w:val="left"/>
        <w:rPr/>
      </w:pPr>
      <w:r>
        <w:rPr>
          <w:rFonts w:eastAsia="Lucida Sans Unicode"/>
          <w:b/>
          <w:bCs/>
          <w:i/>
          <w:kern w:val="2"/>
        </w:rPr>
        <w:t>С</w:t>
      </w:r>
      <w:r>
        <w:rPr>
          <w:b/>
          <w:bCs/>
          <w:i/>
        </w:rPr>
        <w:t xml:space="preserve">рок и порядок внесения задатка: </w:t>
      </w:r>
      <w:r>
        <w:rPr/>
        <w:t>с начала приема заявок по «</w:t>
      </w:r>
      <w:r>
        <w:rPr/>
        <w:t>08</w:t>
      </w:r>
      <w:r>
        <w:rPr/>
        <w:t>» декабря 2026 г.</w:t>
      </w:r>
    </w:p>
    <w:p>
      <w:pPr>
        <w:pStyle w:val="Normal"/>
        <w:ind w:firstLine="540"/>
        <w:rPr/>
      </w:pPr>
      <w:r>
        <w:rPr/>
        <w:t>Информация об условиях внесения задатка приведена в Документации о продаже.</w:t>
      </w:r>
    </w:p>
    <w:p>
      <w:pPr>
        <w:pStyle w:val="Normal"/>
        <w:widowControl w:val="false"/>
        <w:jc w:val="left"/>
        <w:rPr/>
      </w:pPr>
      <w:r>
        <w:rPr>
          <w:b/>
          <w:i/>
        </w:rPr>
        <w:tab/>
        <w:t>Дата и время начала подачи Заявок</w:t>
      </w:r>
      <w:r>
        <w:rPr/>
        <w:t>: «2</w:t>
      </w:r>
      <w:r>
        <w:rPr/>
        <w:t>3</w:t>
      </w:r>
      <w:r>
        <w:rPr/>
        <w:t>» октября 2026 г. 08 ч. 00 мин.</w:t>
      </w:r>
    </w:p>
    <w:p>
      <w:pPr>
        <w:pStyle w:val="Normal"/>
        <w:widowControl w:val="false"/>
        <w:jc w:val="left"/>
        <w:rPr/>
      </w:pPr>
      <w:r>
        <w:rPr/>
        <w:t>(по местному времени Продавца</w:t>
      </w:r>
      <w:r>
        <w:rPr>
          <w:rFonts w:eastAsia="Lucida Sans Unicode"/>
          <w:kern w:val="2"/>
        </w:rPr>
        <w:t>).</w:t>
      </w:r>
    </w:p>
    <w:p>
      <w:pPr>
        <w:pStyle w:val="Normal"/>
        <w:widowControl w:val="false"/>
        <w:jc w:val="left"/>
        <w:rPr/>
      </w:pPr>
      <w:r>
        <w:rPr>
          <w:rFonts w:eastAsia="Lucida Sans Unicode"/>
          <w:b/>
          <w:i/>
          <w:kern w:val="2"/>
        </w:rPr>
        <w:tab/>
        <w:t>Дата и время окончания подачи Заявок</w:t>
      </w:r>
      <w:r>
        <w:rPr>
          <w:rFonts w:eastAsia="Lucida Sans Unicode"/>
          <w:i/>
          <w:kern w:val="2"/>
        </w:rPr>
        <w:t xml:space="preserve">: </w:t>
      </w:r>
      <w:r>
        <w:rPr>
          <w:rFonts w:eastAsia="Lucida Sans Unicode"/>
          <w:kern w:val="2"/>
        </w:rPr>
        <w:t>«</w:t>
      </w:r>
      <w:r>
        <w:rPr>
          <w:rFonts w:eastAsia="Lucida Sans Unicode"/>
          <w:kern w:val="2"/>
        </w:rPr>
        <w:t>08</w:t>
      </w:r>
      <w:r>
        <w:rPr>
          <w:rFonts w:eastAsia="Lucida Sans Unicode"/>
          <w:kern w:val="2"/>
        </w:rPr>
        <w:t>» декабря 2026 г. 16 ч. 00 мин. (по местному времени Продавца).</w:t>
      </w:r>
    </w:p>
    <w:p>
      <w:pPr>
        <w:pStyle w:val="Normal"/>
        <w:widowControl w:val="false"/>
        <w:jc w:val="left"/>
        <w:rPr/>
      </w:pPr>
      <w:r>
        <w:rPr>
          <w:rFonts w:eastAsia="Lucida Sans Unicode"/>
          <w:b/>
          <w:i/>
          <w:kern w:val="2"/>
        </w:rPr>
        <w:tab/>
        <w:t>Дата окончания рассмотрения Заявок</w:t>
      </w:r>
      <w:r>
        <w:rPr>
          <w:rFonts w:eastAsia="Lucida Sans Unicode"/>
          <w:i/>
          <w:kern w:val="2"/>
        </w:rPr>
        <w:t xml:space="preserve">: </w:t>
      </w:r>
      <w:r>
        <w:rPr>
          <w:rFonts w:eastAsia="Lucida Sans Unicode"/>
          <w:kern w:val="2"/>
        </w:rPr>
        <w:t>«</w:t>
      </w:r>
      <w:r>
        <w:rPr>
          <w:rFonts w:eastAsia="Lucida Sans Unicode"/>
          <w:kern w:val="2"/>
        </w:rPr>
        <w:t>10</w:t>
      </w:r>
      <w:r>
        <w:rPr>
          <w:rFonts w:eastAsia="Lucida Sans Unicode"/>
          <w:kern w:val="2"/>
        </w:rPr>
        <w:t>» декабря 2026г.</w:t>
      </w:r>
    </w:p>
    <w:p>
      <w:pPr>
        <w:pStyle w:val="Normal"/>
        <w:widowControl w:val="false"/>
        <w:jc w:val="left"/>
        <w:rPr/>
      </w:pPr>
      <w:r>
        <w:rPr>
          <w:rFonts w:eastAsia="Lucida Sans Unicode"/>
          <w:b/>
          <w:i/>
          <w:kern w:val="2"/>
        </w:rPr>
        <w:tab/>
        <w:t xml:space="preserve">Дата и время проведения Аукциона: </w:t>
      </w:r>
      <w:r>
        <w:rPr>
          <w:rFonts w:eastAsia="Lucida Sans Unicode"/>
          <w:kern w:val="2"/>
        </w:rPr>
        <w:t>«</w:t>
      </w:r>
      <w:r>
        <w:rPr>
          <w:rFonts w:eastAsia="Lucida Sans Unicode"/>
          <w:kern w:val="2"/>
        </w:rPr>
        <w:t>11</w:t>
      </w:r>
      <w:r>
        <w:rPr>
          <w:rFonts w:eastAsia="Lucida Sans Unicode"/>
          <w:kern w:val="2"/>
        </w:rPr>
        <w:t>» декабря 2026 г.10 ч. 00 мин. (по местному времени Продавца).</w:t>
      </w:r>
    </w:p>
    <w:p>
      <w:pPr>
        <w:pStyle w:val="Normal"/>
        <w:widowControl w:val="false"/>
        <w:jc w:val="left"/>
        <w:rPr/>
      </w:pPr>
      <w:r>
        <w:rPr>
          <w:rFonts w:eastAsia="Lucida Sans Unicode"/>
          <w:b/>
          <w:i/>
          <w:kern w:val="2"/>
        </w:rPr>
        <w:tab/>
        <w:t xml:space="preserve">Время ожидания ценового предложения Участника: </w:t>
      </w:r>
      <w:r>
        <w:rPr>
          <w:rFonts w:eastAsia="Lucida Sans Unicode"/>
          <w:kern w:val="2"/>
        </w:rPr>
        <w:t>30 (тридцать) минут от времени начала проведения аукциона.</w:t>
      </w:r>
    </w:p>
    <w:p>
      <w:pPr>
        <w:pStyle w:val="Normal"/>
        <w:widowControl w:val="false"/>
        <w:jc w:val="left"/>
        <w:rPr/>
      </w:pPr>
      <w:r>
        <w:rPr>
          <w:rFonts w:eastAsia="Lucida Sans Unicode"/>
          <w:b/>
          <w:i/>
          <w:kern w:val="2"/>
        </w:rPr>
        <w:tab/>
        <w:t xml:space="preserve">Дата и время подведения итогов Аукциона: </w:t>
      </w:r>
      <w:r>
        <w:rPr>
          <w:rFonts w:eastAsia="Lucida Sans Unicode"/>
          <w:kern w:val="2"/>
        </w:rPr>
        <w:t>«</w:t>
      </w:r>
      <w:r>
        <w:rPr>
          <w:rFonts w:eastAsia="Lucida Sans Unicode"/>
          <w:kern w:val="2"/>
        </w:rPr>
        <w:t>15</w:t>
      </w:r>
      <w:r>
        <w:rPr>
          <w:rFonts w:eastAsia="Lucida Sans Unicode"/>
          <w:kern w:val="2"/>
        </w:rPr>
        <w:t>» декабря</w:t>
      </w:r>
      <w:bookmarkStart w:id="0" w:name="_GoBack"/>
      <w:bookmarkEnd w:id="0"/>
      <w:r>
        <w:rPr>
          <w:rFonts w:eastAsia="Lucida Sans Unicode"/>
          <w:kern w:val="2"/>
        </w:rPr>
        <w:t xml:space="preserve"> 2026 г. в 10 ч. 00 мин (по местному времени Продавца).</w:t>
      </w:r>
    </w:p>
    <w:p>
      <w:pPr>
        <w:pStyle w:val="Normal"/>
        <w:widowControl w:val="false"/>
        <w:jc w:val="left"/>
        <w:rPr/>
      </w:pPr>
      <w:r>
        <w:rPr>
          <w:rFonts w:eastAsia="Lucida Sans Unicode"/>
          <w:b/>
          <w:i/>
          <w:kern w:val="2"/>
        </w:rPr>
        <w:tab/>
        <w:t xml:space="preserve">Место подведения итогов: </w:t>
      </w:r>
      <w:r>
        <w:rPr>
          <w:rFonts w:eastAsia="Lucida Sans Unicode"/>
          <w:kern w:val="2"/>
        </w:rPr>
        <w:t>по адресу Продавца.</w:t>
      </w:r>
    </w:p>
    <w:p>
      <w:pPr>
        <w:pStyle w:val="Normal"/>
        <w:widowControl w:val="false"/>
        <w:jc w:val="left"/>
        <w:rPr/>
      </w:pPr>
      <w:r>
        <w:rPr>
          <w:rFonts w:eastAsia="Lucida Sans Unicode"/>
          <w:b/>
          <w:i/>
          <w:kern w:val="2"/>
        </w:rPr>
        <w:tab/>
        <w:t xml:space="preserve">Наименование и адрес электронной торговой площадки для подачи Заявок: </w:t>
      </w:r>
      <w:r>
        <w:rPr>
          <w:rFonts w:eastAsia="Lucida Sans Unicode"/>
          <w:kern w:val="2"/>
        </w:rPr>
        <w:t xml:space="preserve">Акционерное общество «Российский аукционный дом» (АО «РАД»)             </w:t>
      </w:r>
      <w:hyperlink r:id="rId3">
        <w:r>
          <w:rPr>
            <w:rStyle w:val="Hyperlink"/>
            <w:rFonts w:eastAsia="Lucida Sans Unicode"/>
            <w:kern w:val="2"/>
            <w:u w:val="none"/>
          </w:rPr>
          <w:t>www.lot-online.ru</w:t>
        </w:r>
      </w:hyperlink>
    </w:p>
    <w:p>
      <w:pPr>
        <w:pStyle w:val="Normal"/>
        <w:ind w:firstLine="540"/>
        <w:rPr/>
      </w:pPr>
      <w:r>
        <w:rPr>
          <w:b/>
          <w:i/>
        </w:rPr>
        <w:t>Порядок и форма подачи Заявок:</w:t>
      </w:r>
      <w:r>
        <w:rPr/>
        <w:t xml:space="preserve"> информация приведена в Документации о продаже.</w:t>
      </w:r>
    </w:p>
    <w:p>
      <w:pPr>
        <w:pStyle w:val="Normal"/>
        <w:ind w:firstLine="540"/>
        <w:rPr/>
      </w:pPr>
      <w:r>
        <w:rPr>
          <w:b/>
          <w:i/>
        </w:rPr>
        <w:t>Участники Аукциона</w:t>
      </w:r>
      <w:r>
        <w:rPr/>
        <w:t xml:space="preserve">: 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</w:r>
      <w:r>
        <w:rPr>
          <w:color w:val="000000"/>
        </w:rPr>
        <w:t>чья заявка признана соответствующей требованиям Документации о продаже.</w:t>
      </w:r>
    </w:p>
    <w:p>
      <w:pPr>
        <w:pStyle w:val="Tableheader"/>
        <w:widowControl w:val="false"/>
        <w:ind w:firstLine="540"/>
        <w:rPr>
          <w:sz w:val="26"/>
          <w:szCs w:val="26"/>
        </w:rPr>
      </w:pPr>
      <w:r>
        <w:rPr>
          <w:i/>
          <w:sz w:val="26"/>
          <w:szCs w:val="26"/>
        </w:rPr>
        <w:t>Порядок подведения итогов Аукциона:</w:t>
      </w:r>
      <w:r>
        <w:rPr>
          <w:sz w:val="26"/>
          <w:szCs w:val="26"/>
        </w:rPr>
        <w:t xml:space="preserve"> </w:t>
      </w:r>
      <w:r>
        <w:rPr>
          <w:b w:val="false"/>
          <w:sz w:val="26"/>
          <w:szCs w:val="26"/>
        </w:rPr>
        <w:t>единственным критерием выбора победителя Аукциона является цена Договора (цена заявки), при условии соответствия заявки требованиям Документации о продаже. Победителем Аукциона признается Участник, предложивший наиболее высокую цену Договора.</w:t>
      </w:r>
    </w:p>
    <w:p>
      <w:pPr>
        <w:pStyle w:val="Tableheader"/>
        <w:widowControl w:val="false"/>
        <w:ind w:firstLine="630"/>
        <w:rPr>
          <w:sz w:val="26"/>
          <w:szCs w:val="26"/>
        </w:rPr>
      </w:pPr>
      <w:r>
        <w:rPr>
          <w:b w:val="false"/>
          <w:sz w:val="26"/>
          <w:szCs w:val="26"/>
        </w:rPr>
        <w:t>Описание условий и процедур проводимого Аукциона, порядок ознакомления Участников с иной информацией, ограничения участия в аукционе, срок и условия заключения договора купли-продажи, содержится в Документации о продаже.</w:t>
      </w:r>
    </w:p>
    <w:p>
      <w:pPr>
        <w:pStyle w:val="Tableheader"/>
        <w:widowControl w:val="false"/>
        <w:ind w:firstLine="630"/>
        <w:rPr/>
      </w:pPr>
      <w:r>
        <w:rPr>
          <w:b w:val="false"/>
          <w:sz w:val="26"/>
          <w:szCs w:val="26"/>
        </w:rPr>
        <w:t xml:space="preserve">Документация о продаже официально опубликована на сайте электронной торговой площадки Акционерное общество «Российский аукционный дом» (АО «РАД»в сети «Интернет» </w:t>
      </w:r>
      <w:hyperlink r:id="rId4">
        <w:r>
          <w:rPr>
            <w:rStyle w:val="Hyperlink"/>
            <w:b w:val="false"/>
            <w:sz w:val="26"/>
            <w:szCs w:val="26"/>
            <w:u w:val="none"/>
          </w:rPr>
          <w:t>www.lot-online.ru</w:t>
        </w:r>
      </w:hyperlink>
      <w:r>
        <w:rPr>
          <w:rStyle w:val="Hyperlink"/>
          <w:b w:val="false"/>
          <w:sz w:val="26"/>
          <w:szCs w:val="26"/>
          <w:u w:val="none"/>
        </w:rPr>
        <w:t xml:space="preserve"> </w:t>
      </w:r>
    </w:p>
    <w:p>
      <w:pPr>
        <w:pStyle w:val="Tableheader"/>
        <w:widowControl w:val="false"/>
        <w:ind w:firstLine="630"/>
        <w:rPr/>
      </w:pPr>
      <w:r>
        <w:rPr>
          <w:rStyle w:val="Hyperlink"/>
          <w:b w:val="false"/>
          <w:color w:val="000000"/>
          <w:sz w:val="26"/>
          <w:szCs w:val="26"/>
          <w:u w:val="none"/>
        </w:rPr>
        <w:t xml:space="preserve"> </w:t>
      </w:r>
    </w:p>
    <w:p>
      <w:pPr>
        <w:pStyle w:val="Tableheader"/>
        <w:widowControl w:val="false"/>
        <w:ind w:firstLine="630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701" w:right="850" w:gutter="0" w:header="0" w:top="990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  <w:font w:name="Geneva CY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560" w:hanging="1134"/>
      </w:pPr>
      <w:rPr>
        <w:sz w:val="26"/>
        <w:i w:val="false"/>
        <w:b/>
        <w:szCs w:val="26"/>
      </w:rPr>
    </w:lvl>
    <w:lvl w:ilvl="2">
      <w:start w:val="1"/>
      <w:numFmt w:val="decimal"/>
      <w:lvlText w:val="%1.%2.%3"/>
      <w:lvlJc w:val="left"/>
      <w:pPr>
        <w:tabs>
          <w:tab w:val="num" w:pos="4962"/>
        </w:tabs>
        <w:ind w:left="4962" w:hanging="1134"/>
      </w:pPr>
      <w:rPr>
        <w:sz w:val="26"/>
        <w:i w:val="false"/>
        <w:b w:val="false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i w:val="false"/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12e1b"/>
    <w:pPr>
      <w:widowControl/>
      <w:suppressAutoHyphens w:val="true"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6"/>
      <w:szCs w:val="26"/>
      <w:lang w:eastAsia="ru-RU" w:val="ru-RU" w:bidi="ar-SA"/>
    </w:rPr>
  </w:style>
  <w:style w:type="paragraph" w:styleId="Heading1">
    <w:name w:val="Heading 1"/>
    <w:basedOn w:val="Normal"/>
    <w:next w:val="Normal"/>
    <w:link w:val="1"/>
    <w:qFormat/>
    <w:rsid w:val="00612e1b"/>
    <w:pPr>
      <w:keepNext w:val="true"/>
      <w:keepLines/>
      <w:pageBreakBefore/>
      <w:numPr>
        <w:ilvl w:val="0"/>
        <w:numId w:val="2"/>
      </w:numPr>
      <w:spacing w:before="480" w:after="240"/>
      <w:jc w:val="left"/>
      <w:outlineLvl w:val="0"/>
    </w:pPr>
    <w:rPr>
      <w:rFonts w:ascii="Arial" w:hAnsi="Arial"/>
      <w:b/>
      <w:kern w:val="2"/>
      <w:sz w:val="40"/>
    </w:rPr>
  </w:style>
  <w:style w:type="paragraph" w:styleId="Heading2">
    <w:name w:val="Heading 2"/>
    <w:basedOn w:val="Normal"/>
    <w:next w:val="Normal"/>
    <w:link w:val="2"/>
    <w:qFormat/>
    <w:rsid w:val="00612e1b"/>
    <w:pPr>
      <w:keepNext w:val="true"/>
      <w:numPr>
        <w:ilvl w:val="1"/>
        <w:numId w:val="2"/>
      </w:numPr>
      <w:spacing w:before="360" w:after="120"/>
      <w:jc w:val="left"/>
      <w:outlineLvl w:val="1"/>
    </w:pPr>
    <w:rPr>
      <w:b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612e1b"/>
    <w:rPr>
      <w:rFonts w:ascii="Arial" w:hAnsi="Arial" w:eastAsia="Times New Roman" w:cs="Times New Roman"/>
      <w:b/>
      <w:kern w:val="2"/>
      <w:sz w:val="40"/>
      <w:szCs w:val="26"/>
      <w:lang w:eastAsia="ru-RU"/>
    </w:rPr>
  </w:style>
  <w:style w:type="character" w:styleId="2" w:customStyle="1">
    <w:name w:val="Заголовок 2 Знак"/>
    <w:basedOn w:val="DefaultParagraphFont"/>
    <w:qFormat/>
    <w:rsid w:val="00612e1b"/>
    <w:rPr>
      <w:rFonts w:ascii="Times New Roman" w:hAnsi="Times New Roman" w:eastAsia="Times New Roman" w:cs="Times New Roman"/>
      <w:b/>
      <w:sz w:val="32"/>
      <w:szCs w:val="26"/>
      <w:lang w:eastAsia="ru-RU"/>
    </w:rPr>
  </w:style>
  <w:style w:type="character" w:styleId="Hyperlink">
    <w:name w:val="Hyperlink"/>
    <w:uiPriority w:val="99"/>
    <w:rsid w:val="00612e1b"/>
    <w:rPr>
      <w:color w:val="0000FF"/>
      <w:u w:val="single"/>
    </w:rPr>
  </w:style>
  <w:style w:type="character" w:styleId="Style7" w:customStyle="1">
    <w:name w:val="комментарий"/>
    <w:qFormat/>
    <w:rsid w:val="00612e1b"/>
    <w:rPr>
      <w:b/>
      <w:i/>
      <w:shd w:fill="FFFF99" w:val="clear"/>
    </w:rPr>
  </w:style>
  <w:style w:type="character" w:styleId="Style8" w:customStyle="1">
    <w:name w:val="Текст сноски Знак"/>
    <w:basedOn w:val="DefaultParagraphFont"/>
    <w:uiPriority w:val="99"/>
    <w:semiHidden/>
    <w:qFormat/>
    <w:rsid w:val="00612e1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Символ сноски"/>
    <w:uiPriority w:val="99"/>
    <w:semiHidden/>
    <w:unhideWhenUsed/>
    <w:qFormat/>
    <w:rsid w:val="00612e1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llowedHyperlink">
    <w:name w:val="FollowedHyperlink"/>
    <w:rPr>
      <w:color w:val="800080"/>
      <w:u w:val="single"/>
    </w:rPr>
  </w:style>
  <w:style w:type="character" w:styleId="Linenumber1">
    <w:name w:val="line number1"/>
    <w:qFormat/>
    <w:rPr/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1459b1"/>
    <w:rPr>
      <w:rFonts w:ascii="Segoe UI" w:hAnsi="Segoe UI" w:eastAsia="Times New Roman" w:cs="Segoe UI"/>
      <w:sz w:val="18"/>
      <w:szCs w:val="18"/>
      <w:lang w:eastAsia="ru-RU"/>
    </w:rPr>
  </w:style>
  <w:style w:type="character" w:styleId="LineNumber">
    <w:name w:val="Line Number"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 w:customStyle="1">
    <w:name w:val="Пункт"/>
    <w:basedOn w:val="Normal"/>
    <w:qFormat/>
    <w:rsid w:val="00612e1b"/>
    <w:pPr>
      <w:numPr>
        <w:ilvl w:val="2"/>
        <w:numId w:val="2"/>
      </w:numPr>
    </w:pPr>
    <w:rPr/>
  </w:style>
  <w:style w:type="paragraph" w:styleId="Style14" w:customStyle="1">
    <w:name w:val="Подпункт"/>
    <w:basedOn w:val="Style13"/>
    <w:qFormat/>
    <w:rsid w:val="00612e1b"/>
    <w:pPr>
      <w:numPr>
        <w:ilvl w:val="3"/>
      </w:numPr>
    </w:pPr>
    <w:rPr/>
  </w:style>
  <w:style w:type="paragraph" w:styleId="Style15" w:customStyle="1">
    <w:name w:val="Подподпункт"/>
    <w:basedOn w:val="Style14"/>
    <w:qFormat/>
    <w:rsid w:val="00612e1b"/>
    <w:pPr>
      <w:numPr>
        <w:ilvl w:val="4"/>
      </w:numPr>
    </w:pPr>
    <w:rPr/>
  </w:style>
  <w:style w:type="paragraph" w:styleId="ListParagraph">
    <w:name w:val="List Paragraph"/>
    <w:basedOn w:val="Normal"/>
    <w:uiPriority w:val="34"/>
    <w:qFormat/>
    <w:rsid w:val="00612e1b"/>
    <w:pPr>
      <w:spacing w:before="120" w:after="0"/>
      <w:ind w:left="720"/>
      <w:contextualSpacing/>
      <w:jc w:val="left"/>
    </w:pPr>
    <w:rPr>
      <w:rFonts w:ascii="Geneva CY" w:hAnsi="Geneva CY" w:eastAsia="Geneva"/>
      <w:sz w:val="24"/>
      <w:lang w:eastAsia="en-US"/>
    </w:rPr>
  </w:style>
  <w:style w:type="paragraph" w:styleId="Tableheader" w:customStyle="1">
    <w:name w:val="Table_header"/>
    <w:basedOn w:val="Normal"/>
    <w:qFormat/>
    <w:rsid w:val="00612e1b"/>
    <w:pPr/>
    <w:rPr>
      <w:b/>
      <w:sz w:val="20"/>
      <w:szCs w:val="24"/>
    </w:rPr>
  </w:style>
  <w:style w:type="paragraph" w:styleId="Tabletext" w:customStyle="1">
    <w:name w:val="Table_text"/>
    <w:basedOn w:val="Normal"/>
    <w:qFormat/>
    <w:rsid w:val="00612e1b"/>
    <w:pPr/>
    <w:rPr>
      <w:sz w:val="20"/>
      <w:szCs w:val="24"/>
    </w:rPr>
  </w:style>
  <w:style w:type="paragraph" w:styleId="FootnoteText">
    <w:name w:val="Footnote Text"/>
    <w:basedOn w:val="Normal"/>
    <w:link w:val="Style8"/>
    <w:uiPriority w:val="99"/>
    <w:semiHidden/>
    <w:unhideWhenUsed/>
    <w:rsid w:val="00612e1b"/>
    <w:pPr>
      <w:spacing w:before="0" w:after="0"/>
    </w:pPr>
    <w:rPr>
      <w:sz w:val="20"/>
      <w:szCs w:val="20"/>
    </w:rPr>
  </w:style>
  <w:style w:type="paragraph" w:styleId="Style1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1459b1"/>
    <w:pPr>
      <w:spacing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office@nbges.rushydro.ru" TargetMode="External"/><Relationship Id="rId3" Type="http://schemas.openxmlformats.org/officeDocument/2006/relationships/hyperlink" Target="http://www.lot-online.ru/" TargetMode="External"/><Relationship Id="rId4" Type="http://schemas.openxmlformats.org/officeDocument/2006/relationships/hyperlink" Target="http://www.lot-online.ru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Application>AlterOffice/2026.2.0.0$Linux_X86_64 LibreOffice_project/bc4ef1adf80b36c7a6365f8ed6cbf29021361edd</Application>
  <AppVersion>15.0000</AppVersion>
  <Pages>2</Pages>
  <Words>519</Words>
  <Characters>3697</Characters>
  <CharactersWithSpaces>4210</CharactersWithSpaces>
  <Paragraphs>30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2025-08-19T09:28:00Z</dcterms:created>
  <dc:creator>Грибова Елена Владимировна</dc:creator>
  <dc:description/>
  <dc:language>ru-RU</dc:language>
  <cp:lastModifiedBy/>
  <cp:lastPrinted>2026-10-22T13:17:55Z</cp:lastPrinted>
  <dcterms:modified xsi:type="dcterms:W3CDTF">2026-10-22T13:18:01Z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