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          В состав имущественного комплекса «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Коркинский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мини НПЗ» входят: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установка переработки нефти «ТПН 40-100» (владелец имущества -ООО «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Промлига</w:t>
      </w:r>
      <w:proofErr w:type="spellEnd"/>
      <w:r>
        <w:rPr>
          <w:rFonts w:ascii="Arial" w:hAnsi="Arial" w:cs="Arial"/>
          <w:color w:val="222222"/>
          <w:sz w:val="14"/>
          <w:szCs w:val="14"/>
        </w:rPr>
        <w:t>»);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 - склад ГСМ (владелец имущества – физическое лицо);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 ООО «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УралОптСнаб</w:t>
      </w:r>
      <w:proofErr w:type="spellEnd"/>
      <w:r>
        <w:rPr>
          <w:rFonts w:ascii="Arial" w:hAnsi="Arial" w:cs="Arial"/>
          <w:color w:val="222222"/>
          <w:sz w:val="14"/>
          <w:szCs w:val="14"/>
        </w:rPr>
        <w:t>» (осуществляет операционную деятельность на установке «ТПН 40-100»);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 ООО «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Коркинская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нефтебаза» (осуществляет операционную деятельность на складе ГСМ).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Расположение «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Коркинского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мини НПЗ» - Челябинская область,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Коркинский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район, р.п. Роза, ул.Киевская, 21 (25).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Процедура продажи видится, как продажа физическими лицами долей в уставном капитале входящих в комплекс обществ и продажа имущества физическим лицом. Другие формы продажи также возможны и обсуждаемы. Форма оплаты: любая, допускаемая действующим законодательством при расчетах с физическими лицами.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Вместимость емкостного парка склада ГСМ: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основной для светлых нефтепродуктов 750 куб.м. (10 надземных емкостей);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дополнительный (аварийный) 580 куб.м. (7 подземных емкостей +  1 надземная емкость).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Таким образом, общая вместимость емкостного парка склада ГСМ составляет 1330 куб.м.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Вместимость емкостного парка установки переработки нефти: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технологический 450 куб.м. (9 надземных емкостей);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дополнительный (аварийный) 700 куб.м. (10 подземных емкостей);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промежуточный (сырьевой) 1600 куб.м. (4 подземных емкости).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Таким образом, общая вместимость емкостного парка установки переработки нефти составляет 2750 куб.м.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Общая вместимость емкостного парка комплекса: 4080 куб.м.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Изготовлены, но не введены в эксплуатацию 2 горизонтальных резервуара</w:t>
      </w:r>
      <w:r>
        <w:rPr>
          <w:rFonts w:ascii="Arial" w:hAnsi="Arial" w:cs="Arial"/>
          <w:color w:val="222222"/>
          <w:sz w:val="10"/>
          <w:szCs w:val="10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>емкостью 450 куб.м. каждый для готовой продукции.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Для упрощенных расчетов можно разделить имеющийся объём емкостного парка в пропорции 50% (для готовой продукции) на 50% (для сырья). Но опыт практического применения, позволяет варьировать эти цифры, так как всё зависит от вида сырья и планируемых к получению продуктов. Например, при завозе сырья, оно может храниться практически во всех «темных» емкостях и по мере его переработки, часть этих емкостей заполняется готовой продукцией (темное печное или мазут).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Длина ЖД тупика согласно свидетельства о собственности (на физическое лицо) 498 м. На фронт погрузки-выгрузки становится 3 вагона. Есть возможность увеличения данного параметра путем продления ЖД пути и переноса тупиковой призмы. Из практики эксплуатации в нормальном режиме в сутки обрабатывали 6 вагонов.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 xml:space="preserve">Основной «камень преткновения» для выпуска товара по стандартам Евро 5 это наличие серы. Соответственно, решить эту проблему можно, либо перерабатывая малосернистое сырье (конденсат газовый), либо поставив оборудование по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обессериванию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углеводородов. Вариантов по такому оборудованию много разных. Один из них, например, можно посмотреть здесь: </w:t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14"/>
            <w:szCs w:val="14"/>
          </w:rPr>
          <w:t>http://www.oil-solutions.ru/obesserivanie</w:t>
        </w:r>
      </w:hyperlink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Имеющийся земельный участок позволяет расширять производство и доукомплектовывать его разным оборудованием. На данный момент установка занимает не более 25% имеющейся земли. Есть возможность расширения земельного участка.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Как указывалось выше, имущество комплекса состоит: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  установка переработки нефти «ТПН 40-100» (владелец имущества -ООО «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Промлига</w:t>
      </w:r>
      <w:proofErr w:type="spellEnd"/>
      <w:r>
        <w:rPr>
          <w:rFonts w:ascii="Arial" w:hAnsi="Arial" w:cs="Arial"/>
          <w:color w:val="222222"/>
          <w:sz w:val="14"/>
          <w:szCs w:val="14"/>
        </w:rPr>
        <w:t>»);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 - склад ГСМ (владелец имущества – физическое лицо);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А также компании ведущие операционную деятельность.  Бенефициарами всех организаций являются физические лица.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Кредитов на указанные организации с момента их создания не брали, претензий на данный момент к данным организациям не предъявлено, долги только по текущим налоговым платежам, которые гасятся в рабочем порядке.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          Данная деятельность лицензируется государством, вся информация по лицензированию и регистрации наших опасных производственных объектов приведена в презентации (объекты зарегистрированы, лицензии имеются).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          Получаемые продукты: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lastRenderedPageBreak/>
        <w:t xml:space="preserve">- Бензин прямогонный предназначен для реализации нефтеперерабатывающим предприятиям, осуществляющим доведение его характеристик до требований, предъявляемых к топливу для карбюраторных двигателей. При хорошем качестве исходного сырья установка «ТПН 40-100» позволяет получать прямогонный бензин, удовлетворяющий требованиям ГОСТ 2084-77 на бензин марки А-76. 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 Растворитель органический предназначен для применения в лакокрасочной промышленности или как средство обезжиривания.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 xml:space="preserve">- Дизельное топливо предназначено для применения в дизельных двигателях наземной техники. 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 xml:space="preserve">- Топливо технологическое предназначено для применения в зерносушилках, дизельных генераторах и прочей техники. 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 xml:space="preserve">- Печное топливо предназначено для сжигания в топках различного назначения. 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 xml:space="preserve">- Мазут топочный предназначен для сжигания в топках различного назначения. 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- Мазут флотский предназначен для сжигания в топках судовых установок,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либо иные продукты, получаемые путем атмосферной перегонки жидких углеводородов.</w:t>
      </w:r>
    </w:p>
    <w:p w:rsidR="00877340" w:rsidRDefault="00877340" w:rsidP="00877340">
      <w:pPr>
        <w:pStyle w:val="a3"/>
        <w:spacing w:line="120" w:lineRule="atLeast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4"/>
          <w:szCs w:val="14"/>
        </w:rPr>
        <w:t>С более подробными характеристиками и описанием комплекса можно ознакомиться в нашей презентации или непосредственно посетив наш объект.</w:t>
      </w:r>
    </w:p>
    <w:p w:rsidR="00495CFD" w:rsidRDefault="00495CFD"/>
    <w:sectPr w:rsidR="00495CFD" w:rsidSect="0049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877340"/>
    <w:rsid w:val="00495CFD"/>
    <w:rsid w:val="00532095"/>
    <w:rsid w:val="00877340"/>
    <w:rsid w:val="008913E6"/>
    <w:rsid w:val="00A4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l-solutions.ru/obesseri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4188</Characters>
  <Application>Microsoft Office Word</Application>
  <DocSecurity>0</DocSecurity>
  <Lines>34</Lines>
  <Paragraphs>9</Paragraphs>
  <ScaleCrop>false</ScaleCrop>
  <Company>Grizli777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3</cp:revision>
  <dcterms:created xsi:type="dcterms:W3CDTF">2019-01-03T14:05:00Z</dcterms:created>
  <dcterms:modified xsi:type="dcterms:W3CDTF">2019-04-13T10:25:00Z</dcterms:modified>
</cp:coreProperties>
</file>