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5FC5316" w:rsidR="0003404B" w:rsidRPr="009E6E97" w:rsidRDefault="0050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E6E9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</w:t>
      </w:r>
      <w:proofErr w:type="gram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9E6E97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</w:t>
      </w:r>
      <w:r w:rsidR="00555595"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9E6E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E6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E6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9E6E9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622B580F" w:rsidR="00D115EC" w:rsidRPr="009E6E97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F68A7"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651E1C07" w14:textId="77777777" w:rsidR="005F68A7" w:rsidRPr="00507996" w:rsidRDefault="005F68A7" w:rsidP="005F68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9E6E97">
        <w:t>Лот 1 - ООО «Дельта АЗК», ИНН 5029059084, залогодатель – ЗАО «ТИС-РЕГИОН», ИНН 1027722001416, АО «Магистраль-НК», ИНН 7716216596</w:t>
      </w:r>
      <w:r w:rsidRPr="005F68A7">
        <w:t xml:space="preserve">, ООО «Компания ТРАССА», ИНН 502901001, поручители - </w:t>
      </w:r>
      <w:proofErr w:type="spellStart"/>
      <w:r w:rsidRPr="005F68A7">
        <w:t>Дорощенко</w:t>
      </w:r>
      <w:proofErr w:type="spellEnd"/>
      <w:r w:rsidRPr="005F68A7">
        <w:t xml:space="preserve"> Николай Николаевич, Алексеенков Сергей Олегович, КД 72-КЛ от 26.08.2013, решение АС г. Москвы от 14.07.2020 по делу A40-286781/18-162-2454 на сумму 72 252 601,05 руб., в Бабушкинском районном суде г. Москвы ведется судебная работа по взысканию задолженности</w:t>
      </w:r>
      <w:proofErr w:type="gramEnd"/>
      <w:r w:rsidRPr="005F68A7">
        <w:t xml:space="preserve"> по КД 08-КЛ от 29.01.2015, КД 101-КЛ от 12.10.2015, КД 118-КЛ от 22.11.2013, дело приостановлено для проведения судебной экспертизы по делу (542 </w:t>
      </w:r>
      <w:r w:rsidRPr="00507996">
        <w:t>874 542,40 руб.) – 379 677 654,35 руб.</w:t>
      </w:r>
    </w:p>
    <w:p w14:paraId="14351655" w14:textId="6A7DDC9A" w:rsidR="00555595" w:rsidRPr="009E6E97" w:rsidRDefault="00555595" w:rsidP="005F68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7996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A26A5">
        <w:rPr>
          <w:rFonts w:ascii="Times New Roman CYR" w:hAnsi="Times New Roman CYR" w:cs="Times New Roman CYR"/>
          <w:color w:val="000000"/>
        </w:rPr>
        <w:t>а</w:t>
      </w:r>
      <w:r w:rsidRPr="00507996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</w:t>
      </w:r>
      <w:r w:rsidRPr="009E6E97">
        <w:rPr>
          <w:rFonts w:ascii="Times New Roman CYR" w:hAnsi="Times New Roman CYR" w:cs="Times New Roman CYR"/>
          <w:color w:val="000000"/>
        </w:rPr>
        <w:t xml:space="preserve">сайте ОТ http://www.auction-house.ru/, также </w:t>
      </w:r>
      <w:hyperlink r:id="rId5" w:history="1">
        <w:r w:rsidRPr="009E6E97">
          <w:rPr>
            <w:rFonts w:ascii="Times New Roman CYR" w:hAnsi="Times New Roman CYR" w:cs="Times New Roman CYR"/>
            <w:color w:val="0563C1"/>
            <w:u w:val="single"/>
          </w:rPr>
          <w:t>www.asv.org.ru</w:t>
        </w:r>
      </w:hyperlink>
      <w:r w:rsidRPr="009E6E9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E6E97">
          <w:rPr>
            <w:color w:val="27509B"/>
            <w:u w:val="single"/>
            <w:bdr w:val="none" w:sz="0" w:space="0" w:color="auto" w:frame="1"/>
          </w:rPr>
          <w:t>www.torgiasv.ru</w:t>
        </w:r>
      </w:hyperlink>
      <w:r w:rsidRPr="009E6E9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3A66417" w14:textId="60D5F5E1" w:rsidR="0003404B" w:rsidRPr="009E6E9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E6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9E6E9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07996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ноября</w:t>
      </w:r>
      <w:r w:rsidR="005742CC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07996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марта</w:t>
      </w:r>
      <w:r w:rsidR="0003404B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07996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E6E9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542156" w:rsidR="0003404B" w:rsidRPr="009E6E9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E6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E6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07996" w:rsidRPr="009E6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ноября</w:t>
      </w:r>
      <w:r w:rsidR="00507996" w:rsidRPr="009E6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9E6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9E6E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9E6E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6FADCEA" w:rsidR="0003404B" w:rsidRPr="009E6E9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A26A5" w:rsidRPr="009E6E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F2DA25" w14:textId="4BCD1DA3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97">
        <w:rPr>
          <w:rFonts w:ascii="Times New Roman" w:hAnsi="Times New Roman" w:cs="Times New Roman"/>
          <w:sz w:val="24"/>
          <w:szCs w:val="24"/>
        </w:rPr>
        <w:t>с 25 ноября 2020 г. по 17 января 2021 г. - в размере начальной</w:t>
      </w:r>
      <w:r w:rsidRPr="002A26A5">
        <w:rPr>
          <w:rFonts w:ascii="Times New Roman" w:hAnsi="Times New Roman" w:cs="Times New Roman"/>
          <w:sz w:val="24"/>
          <w:szCs w:val="24"/>
        </w:rPr>
        <w:t xml:space="preserve"> цены продажи лот</w:t>
      </w:r>
      <w:r w:rsidR="009E6E97">
        <w:rPr>
          <w:rFonts w:ascii="Times New Roman" w:hAnsi="Times New Roman" w:cs="Times New Roman"/>
          <w:sz w:val="24"/>
          <w:szCs w:val="24"/>
        </w:rPr>
        <w:t>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52A7AA29" w14:textId="1D58BBAF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18 января 2021 г. по 24 января 2021 г. - в размере 96,20%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0537D651" w14:textId="41372A44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25 января 2021 г. по 31 января 2021 г. - в размере 92,40%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4A2598B9" w14:textId="669BEF64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01 февраля 2021 г. по 07 февраля 2021 г. - в размере 88,60%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1F60CCFF" w14:textId="6580C05E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08 февраля 2021 г. по 14 февраля 2021 г. - в размере 84,80%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5FA519AB" w14:textId="7912AFA2" w:rsidR="002A26A5" w:rsidRPr="002A26A5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15 февраля 2021 г. по 21 февраля 2021 г. - в размере 81,00%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Pr="002A26A5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1C757C8E" w:rsidR="0003404B" w:rsidRPr="005F68A7" w:rsidRDefault="002A26A5" w:rsidP="002A2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A26A5">
        <w:rPr>
          <w:rFonts w:ascii="Times New Roman" w:hAnsi="Times New Roman" w:cs="Times New Roman"/>
          <w:sz w:val="24"/>
          <w:szCs w:val="24"/>
        </w:rPr>
        <w:t xml:space="preserve">с 22 февраля 2021 г. по 01 марта 2021 г. - в размере 77,20% от начальной цены продажи </w:t>
      </w:r>
      <w:r w:rsidR="009E6E97" w:rsidRPr="009E6E97">
        <w:rPr>
          <w:rFonts w:ascii="Times New Roman" w:hAnsi="Times New Roman" w:cs="Times New Roman"/>
          <w:sz w:val="24"/>
          <w:szCs w:val="24"/>
        </w:rPr>
        <w:t>лота</w:t>
      </w:r>
      <w:r w:rsidR="009E6E97"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E6E9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9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E6E9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E6E9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E6E9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9E6E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E6E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9E6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9E6E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E9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E6E9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E6E9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E6E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9E6E9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9E6E9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E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99DB55C" w:rsidR="008F1609" w:rsidRPr="004C7270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9E6E97"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у КУ с 10:00 до 16:30 по адресу: г. Москва, Павелецкая наб., д.8, тел. +7(495)725-31-47, доб. 62-26, а так же </w:t>
      </w:r>
      <w:proofErr w:type="gramStart"/>
      <w:r w:rsidR="009E6E97" w:rsidRPr="004C727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E6E97"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 ОТ: Тел. 8 (812) 334-20-50 (с 9.00 до 18.00 по Московскому времени в будние дни) informmsk@auction-house.ru.</w:t>
      </w:r>
    </w:p>
    <w:p w14:paraId="56B881ED" w14:textId="77777777" w:rsidR="007A10EE" w:rsidRPr="004C7270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C727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C727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C727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C727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7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A26A5"/>
    <w:rsid w:val="002C3A2C"/>
    <w:rsid w:val="00360DC6"/>
    <w:rsid w:val="003E6C81"/>
    <w:rsid w:val="00495D59"/>
    <w:rsid w:val="004C7270"/>
    <w:rsid w:val="00507996"/>
    <w:rsid w:val="00555595"/>
    <w:rsid w:val="005742CC"/>
    <w:rsid w:val="005F1F68"/>
    <w:rsid w:val="005F68A7"/>
    <w:rsid w:val="00621553"/>
    <w:rsid w:val="007A10EE"/>
    <w:rsid w:val="007E3D68"/>
    <w:rsid w:val="008F1609"/>
    <w:rsid w:val="00953DA4"/>
    <w:rsid w:val="009E68C2"/>
    <w:rsid w:val="009E6E97"/>
    <w:rsid w:val="009F0C4D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1461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2019-07-23T07:53:00Z</dcterms:created>
  <dcterms:modified xsi:type="dcterms:W3CDTF">2020-11-16T11:16:00Z</dcterms:modified>
</cp:coreProperties>
</file>