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 xml:space="preserve">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0D81BC7B"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EC1D8A">
        <w:rPr>
          <w:rFonts w:ascii="Times New Roman" w:hAnsi="Times New Roman" w:cs="Times New Roman"/>
          <w:sz w:val="24"/>
          <w:szCs w:val="24"/>
        </w:rPr>
        <w:t>Антикоррупционная оговорка</w:t>
      </w:r>
      <w:r w:rsidR="00126FFE" w:rsidRPr="00243578">
        <w:rPr>
          <w:rFonts w:ascii="Times New Roman" w:hAnsi="Times New Roman" w:cs="Times New Roman"/>
          <w:bCs/>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84904A0" w14:textId="77777777" w:rsidR="004007B9" w:rsidRDefault="004007B9" w:rsidP="004007B9">
      <w:pPr>
        <w:jc w:val="center"/>
        <w:rPr>
          <w:b/>
        </w:rPr>
      </w:pPr>
    </w:p>
    <w:p w14:paraId="321E94BF" w14:textId="7C926C13" w:rsidR="004007B9" w:rsidRPr="004007B9" w:rsidRDefault="004007B9" w:rsidP="004007B9">
      <w:pPr>
        <w:jc w:val="center"/>
        <w:rPr>
          <w:rFonts w:ascii="Times New Roman" w:hAnsi="Times New Roman" w:cs="Times New Roman"/>
          <w:b/>
          <w:sz w:val="24"/>
          <w:szCs w:val="24"/>
        </w:rPr>
      </w:pPr>
      <w:r w:rsidRPr="004007B9">
        <w:rPr>
          <w:rFonts w:ascii="Times New Roman" w:hAnsi="Times New Roman" w:cs="Times New Roman"/>
          <w:b/>
          <w:sz w:val="24"/>
          <w:szCs w:val="24"/>
        </w:rPr>
        <w:t>Антикоррупционная оговорка</w:t>
      </w:r>
      <w:r w:rsidRPr="004007B9">
        <w:rPr>
          <w:rStyle w:val="a5"/>
          <w:rFonts w:ascii="Times New Roman" w:hAnsi="Times New Roman"/>
          <w:b/>
          <w:sz w:val="24"/>
          <w:szCs w:val="24"/>
        </w:rPr>
        <w:footnoteReference w:id="154"/>
      </w:r>
    </w:p>
    <w:p w14:paraId="5A3D34C2" w14:textId="77777777" w:rsidR="004007B9" w:rsidRPr="000868BE" w:rsidRDefault="004007B9" w:rsidP="004007B9">
      <w:pPr>
        <w:jc w:val="center"/>
        <w:rPr>
          <w:b/>
        </w:rPr>
      </w:pPr>
    </w:p>
    <w:p w14:paraId="791DDA5A" w14:textId="77777777" w:rsidR="004007B9" w:rsidRPr="00D94D54" w:rsidRDefault="004007B9" w:rsidP="004007B9">
      <w:pPr>
        <w:pStyle w:val="11"/>
        <w:ind w:left="0" w:firstLine="709"/>
        <w:jc w:val="both"/>
        <w:rPr>
          <w:iCs/>
          <w:sz w:val="24"/>
          <w:szCs w:val="24"/>
        </w:rPr>
      </w:pPr>
      <w:r w:rsidRPr="00D94D54">
        <w:rPr>
          <w:iCs/>
          <w:sz w:val="24"/>
          <w:szCs w:val="24"/>
        </w:rPr>
        <w:t>1.1. При заключении, исполнении, изменении и расторжении Договора</w:t>
      </w:r>
      <w:r w:rsidRPr="00D94D54">
        <w:rPr>
          <w:iCs/>
          <w:sz w:val="24"/>
          <w:szCs w:val="24"/>
          <w:vertAlign w:val="superscript"/>
        </w:rPr>
        <w:footnoteReference w:id="155"/>
      </w:r>
      <w:r w:rsidRPr="00D94D54">
        <w:rPr>
          <w:iCs/>
          <w:sz w:val="24"/>
          <w:szCs w:val="24"/>
        </w:rPr>
        <w:t xml:space="preserve"> Стороны принимают на себя следующие обязательства:</w:t>
      </w:r>
    </w:p>
    <w:p w14:paraId="094EB3C6" w14:textId="77777777" w:rsidR="004007B9" w:rsidRPr="00D94D54" w:rsidRDefault="004007B9" w:rsidP="004007B9">
      <w:pPr>
        <w:pStyle w:val="11"/>
        <w:ind w:left="0" w:firstLine="709"/>
        <w:jc w:val="both"/>
        <w:rPr>
          <w:iCs/>
          <w:sz w:val="24"/>
          <w:szCs w:val="24"/>
        </w:rPr>
      </w:pPr>
      <w:r w:rsidRPr="00D94D54">
        <w:rPr>
          <w:iCs/>
          <w:sz w:val="24"/>
          <w:szCs w:val="24"/>
        </w:rPr>
        <w:t>1.1.1.</w:t>
      </w:r>
      <w:r w:rsidRPr="00D94D54">
        <w:rPr>
          <w:iCs/>
          <w:sz w:val="24"/>
          <w:szCs w:val="24"/>
        </w:rPr>
        <w:tab/>
        <w:t>Стороны, их работники, уполномоченные представители и посредники</w:t>
      </w:r>
      <w:r w:rsidRPr="00D94D54">
        <w:rPr>
          <w:iCs/>
          <w:sz w:val="24"/>
          <w:szCs w:val="24"/>
          <w:vertAlign w:val="superscript"/>
        </w:rPr>
        <w:footnoteReference w:id="156"/>
      </w:r>
      <w:r w:rsidRPr="00D94D54">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B5356D2" w14:textId="77777777" w:rsidR="004007B9" w:rsidRPr="00D94D54" w:rsidRDefault="004007B9" w:rsidP="004007B9">
      <w:pPr>
        <w:pStyle w:val="11"/>
        <w:ind w:left="0" w:firstLine="709"/>
        <w:jc w:val="both"/>
        <w:rPr>
          <w:iCs/>
          <w:sz w:val="24"/>
          <w:szCs w:val="24"/>
        </w:rPr>
      </w:pPr>
      <w:r w:rsidRPr="00D94D54">
        <w:rPr>
          <w:iCs/>
          <w:sz w:val="24"/>
          <w:szCs w:val="24"/>
        </w:rPr>
        <w:t>1.1.2.</w:t>
      </w:r>
      <w:r w:rsidRPr="00D94D54">
        <w:rPr>
          <w:iCs/>
          <w:sz w:val="24"/>
          <w:szCs w:val="24"/>
        </w:rPr>
        <w:tab/>
        <w:t>Стороны, их работники, уполномоченные представители и посредники</w:t>
      </w:r>
      <w:r>
        <w:rPr>
          <w:iCs/>
          <w:sz w:val="24"/>
          <w:szCs w:val="24"/>
          <w:vertAlign w:val="superscript"/>
        </w:rPr>
        <w:t>9</w:t>
      </w:r>
      <w:r w:rsidRPr="00D94D54">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736905B" w14:textId="77777777" w:rsidR="004007B9" w:rsidRPr="00D94D54" w:rsidRDefault="004007B9" w:rsidP="004007B9">
      <w:pPr>
        <w:pStyle w:val="11"/>
        <w:ind w:left="0" w:firstLine="709"/>
        <w:jc w:val="both"/>
        <w:rPr>
          <w:iCs/>
          <w:sz w:val="24"/>
          <w:szCs w:val="24"/>
        </w:rPr>
      </w:pPr>
      <w:r w:rsidRPr="00D94D54">
        <w:rPr>
          <w:iCs/>
          <w:sz w:val="24"/>
          <w:szCs w:val="24"/>
        </w:rPr>
        <w:t>1.1.3.</w:t>
      </w:r>
      <w:r w:rsidRPr="00D94D54">
        <w:rPr>
          <w:iCs/>
          <w:sz w:val="24"/>
          <w:szCs w:val="24"/>
        </w:rPr>
        <w:tab/>
        <w:t>Стороны (i) уведомляют друг друга о ставших известны</w:t>
      </w:r>
      <w:r>
        <w:rPr>
          <w:iCs/>
          <w:sz w:val="24"/>
          <w:szCs w:val="24"/>
        </w:rPr>
        <w:t>ми</w:t>
      </w:r>
      <w:r w:rsidRPr="00D94D54">
        <w:rPr>
          <w:iCs/>
          <w:sz w:val="24"/>
          <w:szCs w:val="24"/>
        </w:rPr>
        <w:t xml:space="preserve"> им обстоятельствах, которые являются или могут явиться основанием для возникновения конфликта интересов</w:t>
      </w:r>
      <w:r w:rsidRPr="00D94D54">
        <w:rPr>
          <w:iCs/>
          <w:sz w:val="24"/>
          <w:szCs w:val="24"/>
          <w:vertAlign w:val="superscript"/>
        </w:rPr>
        <w:footnoteReference w:id="157"/>
      </w:r>
      <w:r w:rsidRPr="00D94D54">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34CB346" w14:textId="77777777" w:rsidR="004007B9" w:rsidRPr="00D94D54" w:rsidRDefault="004007B9" w:rsidP="004007B9">
      <w:pPr>
        <w:pStyle w:val="11"/>
        <w:ind w:left="0" w:firstLine="709"/>
        <w:jc w:val="both"/>
        <w:rPr>
          <w:iCs/>
          <w:sz w:val="24"/>
          <w:szCs w:val="24"/>
        </w:rPr>
      </w:pPr>
      <w:r w:rsidRPr="00D94D54">
        <w:rPr>
          <w:iCs/>
          <w:sz w:val="24"/>
          <w:szCs w:val="24"/>
        </w:rPr>
        <w:t>1.2. Положения пункта 1.1 Договора</w:t>
      </w:r>
      <w:r w:rsidRPr="00D94D54">
        <w:rPr>
          <w:iCs/>
          <w:sz w:val="24"/>
          <w:szCs w:val="24"/>
          <w:vertAlign w:val="superscript"/>
        </w:rPr>
        <w:footnoteReference w:id="158"/>
      </w:r>
      <w:r w:rsidRPr="00D94D54">
        <w:rPr>
          <w:iCs/>
          <w:sz w:val="24"/>
          <w:szCs w:val="24"/>
        </w:rPr>
        <w:t xml:space="preserve"> распространяются на отношения, возникшие до его заключения, но связанные с заключением Договора.</w:t>
      </w:r>
    </w:p>
    <w:p w14:paraId="70865174" w14:textId="77777777" w:rsidR="004007B9" w:rsidRPr="00D94D54" w:rsidRDefault="004007B9" w:rsidP="004007B9">
      <w:pPr>
        <w:pStyle w:val="11"/>
        <w:ind w:left="0" w:firstLine="709"/>
        <w:jc w:val="both"/>
        <w:rPr>
          <w:iCs/>
          <w:sz w:val="24"/>
          <w:szCs w:val="24"/>
        </w:rPr>
      </w:pPr>
      <w:r w:rsidRPr="00D94D54">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9702A9">
        <w:rPr>
          <w:iCs/>
          <w:sz w:val="24"/>
          <w:szCs w:val="24"/>
          <w:vertAlign w:val="superscript"/>
        </w:rPr>
        <w:t>9</w:t>
      </w:r>
      <w:r w:rsidRPr="00D94D54">
        <w:rPr>
          <w:iCs/>
          <w:sz w:val="24"/>
          <w:szCs w:val="24"/>
        </w:rPr>
        <w:t xml:space="preserve"> по Договору каких-либо положений пунктов 1.1.1-1.1.3 Договора</w:t>
      </w:r>
      <w:r>
        <w:rPr>
          <w:iCs/>
          <w:sz w:val="24"/>
          <w:szCs w:val="24"/>
          <w:vertAlign w:val="superscript"/>
        </w:rPr>
        <w:t>11</w:t>
      </w:r>
      <w:r w:rsidRPr="00D94D54">
        <w:rPr>
          <w:iCs/>
          <w:sz w:val="24"/>
          <w:szCs w:val="24"/>
        </w:rPr>
        <w:t xml:space="preserve"> (далее – Нарушение коррупционной направленности), такая Сторона обязуется незамедлительно  письменно уведомить другую Сторону об этом</w:t>
      </w:r>
      <w:r w:rsidRPr="00C97F90">
        <w:rPr>
          <w:iCs/>
          <w:sz w:val="24"/>
          <w:szCs w:val="24"/>
          <w:vertAlign w:val="superscript"/>
        </w:rPr>
        <w:footnoteReference w:id="159"/>
      </w:r>
      <w:r w:rsidRPr="00D94D54">
        <w:rPr>
          <w:iCs/>
          <w:sz w:val="24"/>
          <w:szCs w:val="24"/>
        </w:rPr>
        <w:t>. Такое уведомление должно содержать указание на реквизиты</w:t>
      </w:r>
      <w:r w:rsidRPr="00C97F90">
        <w:rPr>
          <w:iCs/>
          <w:sz w:val="24"/>
          <w:szCs w:val="24"/>
          <w:vertAlign w:val="superscript"/>
        </w:rPr>
        <w:footnoteReference w:id="160"/>
      </w:r>
      <w:r w:rsidRPr="00D94D54">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97F90">
        <w:rPr>
          <w:iCs/>
          <w:sz w:val="24"/>
          <w:szCs w:val="24"/>
          <w:vertAlign w:val="superscript"/>
        </w:rPr>
        <w:footnoteReference w:id="161"/>
      </w:r>
      <w:r w:rsidRPr="00D94D54">
        <w:rPr>
          <w:iCs/>
          <w:sz w:val="24"/>
          <w:szCs w:val="24"/>
        </w:rPr>
        <w:t>.</w:t>
      </w:r>
    </w:p>
    <w:p w14:paraId="6BEFC4DA" w14:textId="77777777" w:rsidR="004007B9" w:rsidRPr="00D94D54" w:rsidRDefault="004007B9" w:rsidP="004007B9">
      <w:pPr>
        <w:pStyle w:val="11"/>
        <w:ind w:left="0" w:firstLine="709"/>
        <w:jc w:val="both"/>
        <w:rPr>
          <w:iCs/>
          <w:sz w:val="24"/>
          <w:szCs w:val="24"/>
        </w:rPr>
      </w:pPr>
      <w:r w:rsidRPr="00D94D54">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85FC6D2" w14:textId="77777777" w:rsidR="004007B9" w:rsidRPr="00D94D54" w:rsidRDefault="004007B9" w:rsidP="004007B9">
      <w:pPr>
        <w:pStyle w:val="11"/>
        <w:ind w:left="0" w:firstLine="709"/>
        <w:jc w:val="both"/>
        <w:rPr>
          <w:iCs/>
          <w:sz w:val="24"/>
          <w:szCs w:val="24"/>
        </w:rPr>
      </w:pPr>
      <w:r w:rsidRPr="00D94D54">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D94D54" w:rsidDel="002A25C9">
        <w:rPr>
          <w:iCs/>
          <w:sz w:val="24"/>
          <w:szCs w:val="24"/>
        </w:rPr>
        <w:t xml:space="preserve"> </w:t>
      </w:r>
      <w:r w:rsidRPr="00D94D54">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D5B4839" w14:textId="77777777" w:rsidR="004007B9" w:rsidRPr="00D94D54" w:rsidRDefault="004007B9" w:rsidP="004007B9">
      <w:pPr>
        <w:pStyle w:val="11"/>
        <w:ind w:left="0" w:firstLine="709"/>
        <w:jc w:val="both"/>
        <w:rPr>
          <w:iCs/>
          <w:sz w:val="24"/>
          <w:szCs w:val="24"/>
        </w:rPr>
      </w:pPr>
      <w:r w:rsidRPr="00D94D54">
        <w:rPr>
          <w:iCs/>
          <w:sz w:val="24"/>
          <w:szCs w:val="24"/>
        </w:rPr>
        <w:t>Договор считается расторгнутым по истечении 10 (десяти) календарных дней</w:t>
      </w:r>
      <w:r w:rsidRPr="00C97F90">
        <w:rPr>
          <w:iCs/>
          <w:sz w:val="24"/>
          <w:szCs w:val="24"/>
          <w:vertAlign w:val="superscript"/>
        </w:rPr>
        <w:footnoteReference w:id="162"/>
      </w:r>
      <w:r w:rsidRPr="00D94D54">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1EE75B1" w14:textId="77777777" w:rsidR="004007B9" w:rsidRPr="00D94D54" w:rsidRDefault="004007B9" w:rsidP="004007B9">
      <w:pPr>
        <w:pStyle w:val="11"/>
        <w:ind w:left="0"/>
        <w:jc w:val="both"/>
        <w:rPr>
          <w:iCs/>
          <w:sz w:val="24"/>
          <w:szCs w:val="24"/>
        </w:rPr>
      </w:pPr>
    </w:p>
    <w:p w14:paraId="6425EFF9" w14:textId="77777777" w:rsidR="004007B9" w:rsidRPr="00D94D54" w:rsidRDefault="004007B9" w:rsidP="004007B9">
      <w:pPr>
        <w:jc w:val="both"/>
        <w:rPr>
          <w:iCs/>
        </w:rPr>
      </w:pPr>
    </w:p>
    <w:p w14:paraId="2F7C8DB7" w14:textId="77777777" w:rsidR="00335586" w:rsidRPr="00243578" w:rsidRDefault="00335586" w:rsidP="00335586">
      <w:pPr>
        <w:ind w:left="360"/>
        <w:rPr>
          <w:rFonts w:ascii="Times New Roman" w:hAnsi="Times New Roman" w:cs="Times New Roman"/>
          <w:b/>
          <w:sz w:val="24"/>
          <w:szCs w:val="24"/>
        </w:rPr>
      </w:pP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3"/>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4"/>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5"/>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6"/>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7"/>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8"/>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9"/>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70"/>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71"/>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72"/>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3"/>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4"/>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5"/>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6"/>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7"/>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8"/>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9"/>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80"/>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82"/>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3"/>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4"/>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5"/>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6"/>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7"/>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8"/>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9"/>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0"/>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91"/>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92"/>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4"/>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5"/>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6"/>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7"/>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8"/>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9"/>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200"/>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201"/>
      </w:r>
      <w:r w:rsidRPr="00772C8E">
        <w:rPr>
          <w:rStyle w:val="a5"/>
          <w:rFonts w:ascii="Times New Roman" w:hAnsi="Times New Roman"/>
          <w:bCs/>
          <w:sz w:val="24"/>
          <w:szCs w:val="24"/>
        </w:rPr>
        <w:footnoteReference w:id="202"/>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4"/>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5"/>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6"/>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8D2A6" w14:textId="77777777" w:rsidR="00730EBE" w:rsidRDefault="00730EBE" w:rsidP="00335586">
      <w:pPr>
        <w:spacing w:after="0" w:line="240" w:lineRule="auto"/>
      </w:pPr>
      <w:r>
        <w:separator/>
      </w:r>
    </w:p>
  </w:endnote>
  <w:endnote w:type="continuationSeparator" w:id="0">
    <w:p w14:paraId="4123653C" w14:textId="77777777" w:rsidR="00730EBE" w:rsidRDefault="00730EBE"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59171528"/>
      <w:docPartObj>
        <w:docPartGallery w:val="Page Numbers (Bottom of Page)"/>
        <w:docPartUnique/>
      </w:docPartObj>
    </w:sdtPr>
    <w:sdtEndPr/>
    <w:sdtContent>
      <w:p w14:paraId="2504117B" w14:textId="4A132DC4"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007B9">
          <w:rPr>
            <w:rFonts w:ascii="Times New Roman" w:hAnsi="Times New Roman"/>
            <w:noProof/>
          </w:rPr>
          <w:t>55</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213F57F" w:rsidR="00EB5BCE" w:rsidRPr="00993A3A" w:rsidRDefault="008A7EF5"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4007B9">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9A0F" w14:textId="77777777" w:rsidR="00730EBE" w:rsidRDefault="00730EBE" w:rsidP="00335586">
      <w:pPr>
        <w:spacing w:after="0" w:line="240" w:lineRule="auto"/>
      </w:pPr>
      <w:r>
        <w:separator/>
      </w:r>
    </w:p>
  </w:footnote>
  <w:footnote w:type="continuationSeparator" w:id="0">
    <w:p w14:paraId="7AD8871B" w14:textId="77777777" w:rsidR="00730EBE" w:rsidRDefault="00730EBE"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E741A39" w14:textId="77777777" w:rsidR="004007B9" w:rsidRPr="007F11A3" w:rsidRDefault="004007B9" w:rsidP="004007B9">
      <w:pPr>
        <w:pStyle w:val="a3"/>
        <w:jc w:val="both"/>
      </w:pPr>
      <w:r>
        <w:rPr>
          <w:rStyle w:val="a5"/>
        </w:rPr>
        <w:footnoteRef/>
      </w:r>
      <w:r>
        <w:t xml:space="preserve"> Нумерация данного раздела и пунктов внутри раздела должна соответствовать нумерации Договора. Сноски </w:t>
      </w:r>
      <w:r w:rsidRPr="00C97F90">
        <w:t>7, 8, 11 и 15 предназначены</w:t>
      </w:r>
      <w:r>
        <w:t xml:space="preserve"> для работника</w:t>
      </w:r>
      <w:r w:rsidRPr="008F7A99">
        <w:t xml:space="preserve"> </w:t>
      </w:r>
      <w:r w:rsidRPr="001259CD">
        <w:t>ПАО Сбербанк</w:t>
      </w:r>
      <w:r>
        <w:t>, составляющего проект Договора, и подлежат удалению. Допускается оформление Антикоррупционной оговорки в виде приложения к Договору, при этом подлежит учету сноска 11 и в конец добавляются подписи Сторон.</w:t>
      </w:r>
    </w:p>
  </w:footnote>
  <w:footnote w:id="155">
    <w:p w14:paraId="671EAC5C" w14:textId="77777777" w:rsidR="004007B9" w:rsidRDefault="004007B9" w:rsidP="004007B9">
      <w:pPr>
        <w:pStyle w:val="a3"/>
        <w:jc w:val="both"/>
      </w:pPr>
      <w:r>
        <w:rPr>
          <w:rStyle w:val="a5"/>
        </w:rPr>
        <w:footnoteRef/>
      </w:r>
      <w:r>
        <w:t xml:space="preserve"> При необходимости термин «Договор» по тексту раздела заменяется</w:t>
      </w:r>
      <w:r w:rsidRPr="00A15485">
        <w:t xml:space="preserve"> </w:t>
      </w:r>
      <w:r>
        <w:t>на другой термин, соответствующий наименованию и содержанию документа, в котором находится раздел (например, контракт, соглашение). При написании терминов должны соблюдаться используемые в документе правила написания прописных и строчных букв.</w:t>
      </w:r>
    </w:p>
  </w:footnote>
  <w:footnote w:id="156">
    <w:p w14:paraId="1EC73358" w14:textId="77777777" w:rsidR="004007B9" w:rsidRPr="00560604" w:rsidRDefault="004007B9" w:rsidP="004007B9">
      <w:pPr>
        <w:pStyle w:val="a3"/>
      </w:pPr>
      <w:r>
        <w:rPr>
          <w:rStyle w:val="a5"/>
        </w:rPr>
        <w:footnoteRef/>
      </w:r>
      <w:r>
        <w:t xml:space="preserve"> Е</w:t>
      </w:r>
      <w:r w:rsidRPr="00560604">
        <w:t>сли применимо</w:t>
      </w:r>
      <w:r>
        <w:t>.</w:t>
      </w:r>
    </w:p>
  </w:footnote>
  <w:footnote w:id="157">
    <w:p w14:paraId="5B097C5A" w14:textId="77777777" w:rsidR="004007B9" w:rsidRPr="00744CDC" w:rsidRDefault="004007B9" w:rsidP="004007B9">
      <w:pPr>
        <w:pStyle w:val="HTML"/>
        <w:jc w:val="both"/>
        <w:rPr>
          <w:rFonts w:ascii="Times New Roman" w:eastAsia="Calibri" w:hAnsi="Times New Roman" w:cs="Times New Roman"/>
        </w:rPr>
      </w:pPr>
      <w:r w:rsidRPr="00744CDC">
        <w:rPr>
          <w:rStyle w:val="a5"/>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158">
    <w:p w14:paraId="15F46A2E" w14:textId="77777777" w:rsidR="004007B9" w:rsidRDefault="004007B9" w:rsidP="004007B9">
      <w:pPr>
        <w:pStyle w:val="a3"/>
        <w:jc w:val="both"/>
      </w:pPr>
      <w:r>
        <w:rPr>
          <w:rStyle w:val="a5"/>
        </w:rPr>
        <w:footnoteRef/>
      </w:r>
      <w:r>
        <w:t xml:space="preserve"> Если Антикоррупционная оговорка оформляется в виде приложения к Договору, то слово «Договора» заменяется на слова «Приложения ___ [указывается номер Приложения</w:t>
      </w:r>
      <w:r w:rsidRPr="001A13B7">
        <w:t>]</w:t>
      </w:r>
      <w:r>
        <w:t xml:space="preserve"> к Договору».</w:t>
      </w:r>
    </w:p>
  </w:footnote>
  <w:footnote w:id="159">
    <w:p w14:paraId="5C9A2640" w14:textId="77777777" w:rsidR="004007B9" w:rsidRPr="00406396" w:rsidRDefault="004007B9" w:rsidP="004007B9">
      <w:pPr>
        <w:pStyle w:val="a3"/>
        <w:jc w:val="both"/>
      </w:pPr>
      <w:r>
        <w:rPr>
          <w:rStyle w:val="a5"/>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160">
    <w:p w14:paraId="20BA404A" w14:textId="77777777" w:rsidR="004007B9" w:rsidRDefault="004007B9" w:rsidP="004007B9">
      <w:pPr>
        <w:pStyle w:val="a3"/>
      </w:pPr>
      <w:r>
        <w:rPr>
          <w:rStyle w:val="a5"/>
        </w:rPr>
        <w:footnoteRef/>
      </w:r>
      <w:r>
        <w:t xml:space="preserve"> Номер (при наличии), дата и заголовок (при наличии).</w:t>
      </w:r>
    </w:p>
  </w:footnote>
  <w:footnote w:id="161">
    <w:p w14:paraId="244124F6" w14:textId="77777777" w:rsidR="004007B9" w:rsidRDefault="004007B9" w:rsidP="004007B9">
      <w:pPr>
        <w:pStyle w:val="a3"/>
        <w:jc w:val="both"/>
      </w:pPr>
      <w:r>
        <w:rPr>
          <w:rStyle w:val="a5"/>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 w:id="162">
    <w:p w14:paraId="7233AF2E" w14:textId="77777777" w:rsidR="004007B9" w:rsidRDefault="004007B9" w:rsidP="004007B9">
      <w:pPr>
        <w:pStyle w:val="a3"/>
        <w:jc w:val="both"/>
      </w:pPr>
      <w:r>
        <w:rPr>
          <w:rStyle w:val="a5"/>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163">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5">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6">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7">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8">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9">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0">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1">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2">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3">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4">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5">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6">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7">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8">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9">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0">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1">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3">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4">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5">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7">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8">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9">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90">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1">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2">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3">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4">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5">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6">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7">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8">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9">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0">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201">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202">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3">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4">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5">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6">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2D74"/>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07B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A6C"/>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0EBE"/>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A7EF5"/>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1D8A"/>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EE99-D5C6-4AF9-AD8D-247614F2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18658</Words>
  <Characters>106352</Characters>
  <Application>Microsoft Office Word</Application>
  <DocSecurity>8</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2020-11-25T05:31:00Z</dcterms:created>
  <dcterms:modified xsi:type="dcterms:W3CDTF">2020-11-25T05:31:00Z</dcterms:modified>
</cp:coreProperties>
</file>