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«__» ________ 2</w:t>
      </w:r>
      <w:r w:rsidR="00212937">
        <w:rPr>
          <w:color w:val="auto"/>
          <w:sz w:val="18"/>
        </w:rPr>
        <w:t>0__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r w:rsidR="006B225F" w:rsidRPr="006B225F">
        <w:rPr>
          <w:color w:val="auto"/>
          <w:sz w:val="18"/>
        </w:rPr>
        <w:t xml:space="preserve">Крохин Олег Иванович </w:t>
      </w:r>
      <w:r w:rsidR="006B225F">
        <w:rPr>
          <w:color w:val="auto"/>
          <w:sz w:val="18"/>
        </w:rPr>
        <w:t>(далее Должник</w:t>
      </w:r>
      <w:proofErr w:type="gramStart"/>
      <w:r w:rsidR="006B225F">
        <w:rPr>
          <w:color w:val="auto"/>
          <w:sz w:val="18"/>
        </w:rPr>
        <w:t>) ,</w:t>
      </w:r>
      <w:r w:rsidR="006B225F" w:rsidRPr="006B225F">
        <w:rPr>
          <w:color w:val="auto"/>
          <w:sz w:val="18"/>
        </w:rPr>
        <w:t>в</w:t>
      </w:r>
      <w:proofErr w:type="gramEnd"/>
      <w:r w:rsidR="006B225F" w:rsidRPr="006B225F">
        <w:rPr>
          <w:color w:val="auto"/>
          <w:sz w:val="18"/>
        </w:rPr>
        <w:t xml:space="preserve"> лице финансового управляющего </w:t>
      </w:r>
      <w:r w:rsidR="000D49D6">
        <w:rPr>
          <w:color w:val="auto"/>
          <w:sz w:val="18"/>
        </w:rPr>
        <w:t>Пономаренко Лилии Николаевны</w:t>
      </w:r>
      <w:r w:rsidR="006B225F" w:rsidRPr="006B225F">
        <w:rPr>
          <w:color w:val="auto"/>
          <w:sz w:val="18"/>
        </w:rPr>
        <w:t>, действующе</w:t>
      </w:r>
      <w:r w:rsidR="000D49D6">
        <w:rPr>
          <w:color w:val="auto"/>
          <w:sz w:val="18"/>
        </w:rPr>
        <w:t>й</w:t>
      </w:r>
      <w:r w:rsidR="006B225F" w:rsidRPr="006B225F">
        <w:rPr>
          <w:color w:val="auto"/>
          <w:sz w:val="18"/>
        </w:rPr>
        <w:t xml:space="preserve"> на основании решения Арбитражного суда</w:t>
      </w:r>
      <w:r w:rsidR="000D49D6">
        <w:rPr>
          <w:color w:val="auto"/>
          <w:sz w:val="18"/>
        </w:rPr>
        <w:t xml:space="preserve"> </w:t>
      </w:r>
      <w:r w:rsidR="006B225F" w:rsidRPr="006B225F">
        <w:rPr>
          <w:color w:val="auto"/>
          <w:sz w:val="18"/>
        </w:rPr>
        <w:t xml:space="preserve">Алтайского края от </w:t>
      </w:r>
      <w:r w:rsidR="000D49D6">
        <w:rPr>
          <w:color w:val="auto"/>
          <w:sz w:val="18"/>
        </w:rPr>
        <w:t>02.10</w:t>
      </w:r>
      <w:r w:rsidR="006B225F" w:rsidRPr="006B225F">
        <w:rPr>
          <w:color w:val="auto"/>
          <w:sz w:val="18"/>
        </w:rPr>
        <w:t>.20</w:t>
      </w:r>
      <w:r w:rsidR="000D49D6">
        <w:rPr>
          <w:color w:val="auto"/>
          <w:sz w:val="18"/>
        </w:rPr>
        <w:t>20</w:t>
      </w:r>
      <w:r w:rsidR="006B225F" w:rsidRPr="006B225F">
        <w:rPr>
          <w:color w:val="auto"/>
          <w:sz w:val="18"/>
        </w:rPr>
        <w:t xml:space="preserve"> г. (резолютивная часть определения объявлена </w:t>
      </w:r>
      <w:r w:rsidR="000D49D6">
        <w:rPr>
          <w:color w:val="auto"/>
          <w:sz w:val="18"/>
        </w:rPr>
        <w:t>02.10.2020</w:t>
      </w:r>
      <w:r w:rsidR="006B225F" w:rsidRPr="006B225F">
        <w:rPr>
          <w:color w:val="auto"/>
          <w:sz w:val="18"/>
        </w:rPr>
        <w:t xml:space="preserve"> г.) по делу №А03-8438/2018</w:t>
      </w:r>
      <w:r w:rsidRPr="00F173AA">
        <w:rPr>
          <w:color w:val="auto"/>
          <w:sz w:val="18"/>
        </w:rPr>
        <w:t>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 w:rsidR="00212937">
        <w:rPr>
          <w:color w:val="auto"/>
          <w:sz w:val="18"/>
        </w:rPr>
        <w:t xml:space="preserve"> ___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F14892">
        <w:rPr>
          <w:color w:val="auto"/>
          <w:sz w:val="18"/>
        </w:rPr>
        <w:t>финансов</w:t>
      </w:r>
      <w:r w:rsidRPr="00F173AA">
        <w:rPr>
          <w:color w:val="auto"/>
          <w:sz w:val="18"/>
        </w:rPr>
        <w:t>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08268C" w:rsidRDefault="006D2CFB" w:rsidP="0008268C">
      <w:pPr>
        <w:jc w:val="both"/>
        <w:rPr>
          <w:color w:val="auto"/>
          <w:sz w:val="18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</w:t>
      </w:r>
      <w:r w:rsidR="00AB199D" w:rsidRPr="00AB199D">
        <w:t xml:space="preserve"> </w:t>
      </w:r>
      <w:r w:rsidR="00AB199D" w:rsidRPr="00AB199D">
        <w:rPr>
          <w:color w:val="auto"/>
          <w:sz w:val="18"/>
        </w:rPr>
        <w:t>р/с 40817810218130008834, получатель: Крохин Олег Иванович, Банк: Алтайский РФ АО "</w:t>
      </w:r>
      <w:proofErr w:type="spellStart"/>
      <w:r w:rsidR="00AB199D" w:rsidRPr="00AB199D">
        <w:rPr>
          <w:color w:val="auto"/>
          <w:sz w:val="18"/>
        </w:rPr>
        <w:t>Россельхозбанк</w:t>
      </w:r>
      <w:proofErr w:type="spellEnd"/>
      <w:r w:rsidR="00AB199D" w:rsidRPr="00AB199D">
        <w:rPr>
          <w:color w:val="auto"/>
          <w:sz w:val="18"/>
        </w:rPr>
        <w:t xml:space="preserve">", </w:t>
      </w:r>
      <w:proofErr w:type="spellStart"/>
      <w:r w:rsidR="00AB199D" w:rsidRPr="00AB199D">
        <w:rPr>
          <w:color w:val="auto"/>
          <w:sz w:val="18"/>
        </w:rPr>
        <w:t>кор</w:t>
      </w:r>
      <w:proofErr w:type="spellEnd"/>
      <w:r w:rsidR="00AB199D" w:rsidRPr="00AB199D">
        <w:rPr>
          <w:color w:val="auto"/>
          <w:sz w:val="18"/>
        </w:rPr>
        <w:t>. счет банка 30101810100000000733, БИК 040173733, ИНН 7725114488</w:t>
      </w:r>
      <w:bookmarkStart w:id="0" w:name="_GoBack"/>
      <w:bookmarkEnd w:id="0"/>
      <w:r w:rsidR="0008268C">
        <w:rPr>
          <w:sz w:val="18"/>
          <w:szCs w:val="18"/>
        </w:rPr>
        <w:t xml:space="preserve">, </w:t>
      </w:r>
      <w:r w:rsidRPr="00F173AA">
        <w:rPr>
          <w:color w:val="auto"/>
          <w:sz w:val="18"/>
        </w:rPr>
        <w:t>в полной сумме, указанно</w:t>
      </w:r>
      <w:r w:rsidR="00212937">
        <w:rPr>
          <w:color w:val="auto"/>
          <w:sz w:val="18"/>
        </w:rPr>
        <w:t>й в п.1.1 настоящего договора.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</w:t>
      </w:r>
      <w:r w:rsidR="00F14892">
        <w:rPr>
          <w:color w:val="auto"/>
          <w:sz w:val="18"/>
        </w:rPr>
        <w:t xml:space="preserve"> получения предложения финансов</w:t>
      </w:r>
      <w:r w:rsidR="00F14892" w:rsidRPr="009D2819">
        <w:rPr>
          <w:color w:val="auto"/>
          <w:sz w:val="18"/>
        </w:rPr>
        <w:t>ого</w:t>
      </w:r>
      <w:r w:rsidRPr="009D2819">
        <w:rPr>
          <w:color w:val="auto"/>
          <w:sz w:val="18"/>
        </w:rPr>
        <w:t xml:space="preserve"> управляющего, заключить договор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 Должника, и уплатить в течение 30 календарных дней со дня подписания договора купли-про</w:t>
      </w:r>
      <w:r w:rsidR="00841C67">
        <w:rPr>
          <w:color w:val="auto"/>
          <w:sz w:val="18"/>
        </w:rPr>
        <w:t xml:space="preserve">дажи имущества на расчетный счет </w:t>
      </w:r>
      <w:r w:rsidR="00212937">
        <w:rPr>
          <w:color w:val="auto"/>
          <w:sz w:val="18"/>
        </w:rPr>
        <w:t>Крохина О.И</w:t>
      </w:r>
      <w:r w:rsidRPr="009D2819">
        <w:rPr>
          <w:bCs/>
          <w:color w:val="auto"/>
          <w:sz w:val="18"/>
        </w:rPr>
        <w:t>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</w:t>
      </w:r>
      <w:r w:rsidR="006C0801">
        <w:rPr>
          <w:color w:val="auto"/>
          <w:sz w:val="18"/>
        </w:rPr>
        <w:t>с финансов</w:t>
      </w:r>
      <w:r w:rsidRPr="009D2819">
        <w:rPr>
          <w:color w:val="auto"/>
          <w:sz w:val="18"/>
        </w:rPr>
        <w:t>ым управляющим в течение пяти дней</w:t>
      </w:r>
      <w:r w:rsidR="00841C67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81595C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lastRenderedPageBreak/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Default="006D2CFB" w:rsidP="006B225F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  <w:p w:rsidR="006B225F" w:rsidRPr="006B225F" w:rsidRDefault="006B225F" w:rsidP="006B225F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  <w:p w:rsidR="006B225F" w:rsidRPr="006B225F" w:rsidRDefault="006B225F" w:rsidP="006B225F">
            <w:pPr>
              <w:ind w:right="20"/>
              <w:rPr>
                <w:rFonts w:eastAsia="Courier New"/>
                <w:color w:val="auto"/>
                <w:sz w:val="18"/>
                <w:szCs w:val="18"/>
              </w:rPr>
            </w:pPr>
          </w:p>
          <w:p w:rsidR="006C4990" w:rsidRPr="006B225F" w:rsidRDefault="006B225F" w:rsidP="006B225F">
            <w:pPr>
              <w:ind w:right="20"/>
              <w:rPr>
                <w:rFonts w:eastAsia="Courier New"/>
                <w:color w:val="auto"/>
                <w:sz w:val="18"/>
                <w:szCs w:val="18"/>
              </w:rPr>
            </w:pPr>
            <w:r w:rsidRPr="006B225F">
              <w:rPr>
                <w:rFonts w:eastAsia="Courier New"/>
                <w:color w:val="auto"/>
                <w:sz w:val="18"/>
                <w:szCs w:val="18"/>
              </w:rPr>
              <w:t>Финансовый</w:t>
            </w:r>
          </w:p>
          <w:p w:rsidR="006B225F" w:rsidRPr="006B225F" w:rsidRDefault="006B225F" w:rsidP="006B225F">
            <w:pPr>
              <w:ind w:right="20"/>
              <w:rPr>
                <w:rFonts w:eastAsia="Courier New"/>
                <w:color w:val="auto"/>
                <w:sz w:val="18"/>
                <w:szCs w:val="18"/>
              </w:rPr>
            </w:pPr>
            <w:r w:rsidRPr="006B225F">
              <w:rPr>
                <w:rFonts w:eastAsia="Courier New"/>
                <w:color w:val="auto"/>
                <w:sz w:val="18"/>
                <w:szCs w:val="18"/>
              </w:rPr>
              <w:t>управляющий _________________</w:t>
            </w:r>
            <w:r w:rsidR="000D49D6">
              <w:rPr>
                <w:rFonts w:eastAsia="Courier New"/>
                <w:color w:val="auto"/>
                <w:sz w:val="18"/>
                <w:szCs w:val="18"/>
              </w:rPr>
              <w:t>Л.Н. Пономаренко</w:t>
            </w:r>
          </w:p>
          <w:p w:rsidR="006B225F" w:rsidRPr="009D2819" w:rsidRDefault="006B225F" w:rsidP="006B225F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0D49D6" w:rsidRDefault="000D49D6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</w:tc>
      </w:tr>
    </w:tbl>
    <w:p w:rsidR="00B944B1" w:rsidRDefault="00B944B1"/>
    <w:sectPr w:rsidR="00B944B1" w:rsidSect="004C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D2CFB"/>
    <w:rsid w:val="0008268C"/>
    <w:rsid w:val="000D49D6"/>
    <w:rsid w:val="00212937"/>
    <w:rsid w:val="00291B49"/>
    <w:rsid w:val="00291F8B"/>
    <w:rsid w:val="002B08E5"/>
    <w:rsid w:val="0038360E"/>
    <w:rsid w:val="004A25EE"/>
    <w:rsid w:val="004C292D"/>
    <w:rsid w:val="004D1C5E"/>
    <w:rsid w:val="00553900"/>
    <w:rsid w:val="00601809"/>
    <w:rsid w:val="006B225F"/>
    <w:rsid w:val="006C0801"/>
    <w:rsid w:val="006C4990"/>
    <w:rsid w:val="006D2CFB"/>
    <w:rsid w:val="007E6AFF"/>
    <w:rsid w:val="0081595C"/>
    <w:rsid w:val="00841C67"/>
    <w:rsid w:val="00947D04"/>
    <w:rsid w:val="00AB199D"/>
    <w:rsid w:val="00AC1191"/>
    <w:rsid w:val="00B944B1"/>
    <w:rsid w:val="00D23BF7"/>
    <w:rsid w:val="00D52FC5"/>
    <w:rsid w:val="00DD39FF"/>
    <w:rsid w:val="00EE3D3D"/>
    <w:rsid w:val="00F041A4"/>
    <w:rsid w:val="00F14892"/>
    <w:rsid w:val="00FB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AE0D7-5A41-4FBC-BB9F-430F5522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17</cp:revision>
  <dcterms:created xsi:type="dcterms:W3CDTF">2020-07-30T07:22:00Z</dcterms:created>
  <dcterms:modified xsi:type="dcterms:W3CDTF">2021-03-09T07:14:00Z</dcterms:modified>
</cp:coreProperties>
</file>