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CA" w:rsidRPr="00956FA4" w:rsidRDefault="00BD53CA" w:rsidP="00BD53CA">
      <w:pPr>
        <w:spacing w:after="0" w:line="276" w:lineRule="auto"/>
        <w:ind w:left="-709" w:right="-143" w:firstLine="709"/>
        <w:jc w:val="center"/>
        <w:rPr>
          <w:rFonts w:ascii="Times New Roman" w:hAnsi="Times New Roman" w:cs="Times New Roman"/>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rsidR="00BD53CA"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p>
    <w:p w:rsidR="00BD53CA"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r>
        <w:rPr>
          <w:rFonts w:ascii="Times New Roman" w:hAnsi="Times New Roman" w:cs="Times New Roman"/>
          <w:sz w:val="24"/>
          <w:szCs w:val="24"/>
        </w:rPr>
        <w:tab/>
      </w:r>
      <w:r w:rsidR="00BF6703">
        <w:rPr>
          <w:rFonts w:ascii="Times New Roman" w:hAnsi="Times New Roman" w:cs="Times New Roman"/>
          <w:sz w:val="24"/>
          <w:szCs w:val="24"/>
        </w:rPr>
        <w:t>«__» _______ 20_</w:t>
      </w:r>
      <w:bookmarkStart w:id="0" w:name="_GoBack"/>
      <w:bookmarkEnd w:id="0"/>
      <w:r w:rsidR="00206355" w:rsidRPr="00206355">
        <w:rPr>
          <w:rFonts w:ascii="Times New Roman" w:hAnsi="Times New Roman" w:cs="Times New Roman"/>
          <w:sz w:val="24"/>
          <w:szCs w:val="24"/>
        </w:rPr>
        <w:t>_</w:t>
      </w:r>
      <w:r w:rsidR="00206355">
        <w:rPr>
          <w:rFonts w:ascii="Times New Roman" w:hAnsi="Times New Roman" w:cs="Times New Roman"/>
          <w:sz w:val="24"/>
          <w:szCs w:val="24"/>
        </w:rPr>
        <w:t xml:space="preserve"> г.</w:t>
      </w:r>
    </w:p>
    <w:p w:rsidR="00BD53CA" w:rsidRPr="00F05623"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F05623" w:rsidP="00BD53CA">
      <w:pPr>
        <w:spacing w:after="0" w:line="276" w:lineRule="auto"/>
        <w:ind w:left="-709" w:right="-143" w:firstLine="709"/>
        <w:jc w:val="both"/>
        <w:rPr>
          <w:rFonts w:ascii="Times New Roman" w:hAnsi="Times New Roman" w:cs="Times New Roman"/>
          <w:sz w:val="24"/>
          <w:szCs w:val="24"/>
        </w:rPr>
      </w:pPr>
      <w:r w:rsidRPr="00F05623">
        <w:rPr>
          <w:rFonts w:ascii="Times New Roman" w:hAnsi="Times New Roman" w:cs="Times New Roman"/>
          <w:sz w:val="24"/>
          <w:szCs w:val="24"/>
        </w:rPr>
        <w:t xml:space="preserve">Общество с ограниченной ответственностью </w:t>
      </w:r>
      <w:r w:rsidR="00281B61" w:rsidRPr="00281B61">
        <w:rPr>
          <w:rFonts w:ascii="Times New Roman" w:hAnsi="Times New Roman" w:cs="Times New Roman"/>
          <w:sz w:val="24"/>
          <w:szCs w:val="24"/>
        </w:rPr>
        <w:t>«</w:t>
      </w:r>
      <w:r w:rsidR="00281B61" w:rsidRPr="00281B61">
        <w:rPr>
          <w:rFonts w:ascii="Times New Roman" w:hAnsi="Times New Roman" w:cs="Times New Roman"/>
          <w:bCs/>
          <w:sz w:val="24"/>
          <w:szCs w:val="24"/>
        </w:rPr>
        <w:t>Лизинг Центр</w:t>
      </w:r>
      <w:r w:rsidR="00281B61" w:rsidRPr="00281B61">
        <w:rPr>
          <w:rFonts w:ascii="Times New Roman" w:hAnsi="Times New Roman" w:cs="Times New Roman"/>
          <w:sz w:val="24"/>
          <w:szCs w:val="24"/>
          <w:lang w:bidi="ru-RU"/>
        </w:rPr>
        <w:t xml:space="preserve">» </w:t>
      </w:r>
      <w:r w:rsidR="00281B61" w:rsidRPr="00281B61">
        <w:rPr>
          <w:rFonts w:ascii="Times New Roman" w:hAnsi="Times New Roman" w:cs="Times New Roman"/>
          <w:sz w:val="24"/>
          <w:szCs w:val="24"/>
        </w:rPr>
        <w:t xml:space="preserve">(ОГРН 1057746016492, ИНН 7714585647, </w:t>
      </w:r>
      <w:proofErr w:type="spellStart"/>
      <w:r w:rsidR="00281B61" w:rsidRPr="00281B61">
        <w:rPr>
          <w:rFonts w:ascii="Times New Roman" w:hAnsi="Times New Roman" w:cs="Times New Roman"/>
          <w:sz w:val="24"/>
          <w:szCs w:val="24"/>
        </w:rPr>
        <w:t>юр.адрес</w:t>
      </w:r>
      <w:proofErr w:type="spellEnd"/>
      <w:r w:rsidR="00281B61" w:rsidRPr="00281B61">
        <w:rPr>
          <w:rFonts w:ascii="Times New Roman" w:hAnsi="Times New Roman" w:cs="Times New Roman"/>
          <w:sz w:val="24"/>
          <w:szCs w:val="24"/>
        </w:rPr>
        <w:t>:</w:t>
      </w:r>
      <w:r w:rsidR="00281B61" w:rsidRPr="00281B61">
        <w:rPr>
          <w:rFonts w:ascii="Times New Roman" w:hAnsi="Times New Roman" w:cs="Times New Roman"/>
          <w:sz w:val="24"/>
          <w:szCs w:val="24"/>
          <w:lang w:bidi="ru-RU"/>
        </w:rPr>
        <w:t xml:space="preserve"> 123007, г. Москва, ш. </w:t>
      </w:r>
      <w:proofErr w:type="gramStart"/>
      <w:r w:rsidR="00281B61" w:rsidRPr="00281B61">
        <w:rPr>
          <w:rFonts w:ascii="Times New Roman" w:hAnsi="Times New Roman" w:cs="Times New Roman"/>
          <w:sz w:val="24"/>
          <w:szCs w:val="24"/>
          <w:lang w:bidi="ru-RU"/>
        </w:rPr>
        <w:t>Хорошёвское, д. 32А, стр. 22</w:t>
      </w:r>
      <w:r w:rsidR="00281B61" w:rsidRPr="00281B61">
        <w:rPr>
          <w:rFonts w:ascii="Times New Roman" w:hAnsi="Times New Roman" w:cs="Times New Roman"/>
          <w:sz w:val="24"/>
          <w:szCs w:val="24"/>
        </w:rPr>
        <w:t xml:space="preserve">), именуемое в дальнейшем «Организатор торгов», в лице конкурсного управляющего </w:t>
      </w:r>
      <w:r w:rsidR="0005362A">
        <w:rPr>
          <w:rFonts w:ascii="Times New Roman" w:hAnsi="Times New Roman" w:cs="Times New Roman"/>
          <w:sz w:val="24"/>
          <w:szCs w:val="24"/>
        </w:rPr>
        <w:t>Глушкова Дениса Валерьевич</w:t>
      </w:r>
      <w:r w:rsidR="00281B61" w:rsidRPr="00281B61">
        <w:rPr>
          <w:rFonts w:ascii="Times New Roman" w:hAnsi="Times New Roman" w:cs="Times New Roman"/>
          <w:sz w:val="24"/>
          <w:szCs w:val="24"/>
        </w:rPr>
        <w:t xml:space="preserve">, действующего на основании Решения Арбитражного суда г. Москвы от 31.07.2017 г. по делу №А40-99476/17-88-138Б, Определения Арбитражного суда г. Москвы от </w:t>
      </w:r>
      <w:r w:rsidR="00BF6703" w:rsidRPr="00BF6703">
        <w:rPr>
          <w:rFonts w:ascii="Times New Roman" w:hAnsi="Times New Roman" w:cs="Times New Roman"/>
          <w:sz w:val="24"/>
          <w:szCs w:val="24"/>
        </w:rPr>
        <w:t>04.03.2020</w:t>
      </w:r>
      <w:r w:rsidR="00BF6703">
        <w:rPr>
          <w:rFonts w:ascii="Times New Roman" w:hAnsi="Times New Roman" w:cs="Times New Roman"/>
          <w:sz w:val="24"/>
          <w:szCs w:val="24"/>
        </w:rPr>
        <w:t xml:space="preserve"> </w:t>
      </w:r>
      <w:r w:rsidR="00281B61" w:rsidRPr="00281B61">
        <w:rPr>
          <w:rFonts w:ascii="Times New Roman" w:hAnsi="Times New Roman" w:cs="Times New Roman"/>
          <w:sz w:val="24"/>
          <w:szCs w:val="24"/>
        </w:rPr>
        <w:t>г. по делу № А40-14282/16-70-23Б</w:t>
      </w:r>
      <w:r w:rsidR="00BD53CA" w:rsidRPr="00956FA4">
        <w:rPr>
          <w:rFonts w:ascii="Times New Roman" w:hAnsi="Times New Roman" w:cs="Times New Roman"/>
          <w:sz w:val="24"/>
          <w:szCs w:val="24"/>
        </w:rPr>
        <w:t xml:space="preserve">, с одной стороны, и </w:t>
      </w:r>
      <w:r w:rsidR="00480502">
        <w:rPr>
          <w:rFonts w:ascii="Times New Roman" w:hAnsi="Times New Roman" w:cs="Times New Roman"/>
          <w:sz w:val="24"/>
          <w:szCs w:val="24"/>
        </w:rPr>
        <w:t>__________________________________________</w:t>
      </w:r>
      <w:r w:rsidR="00BD53CA"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sidR="00BD53CA" w:rsidRPr="00956FA4">
        <w:rPr>
          <w:rFonts w:ascii="Times New Roman" w:hAnsi="Times New Roman" w:cs="Times New Roman"/>
          <w:sz w:val="24"/>
          <w:szCs w:val="24"/>
        </w:rPr>
        <w:t xml:space="preserve">с другой стороны, </w:t>
      </w:r>
      <w:proofErr w:type="gramEnd"/>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8176A4">
        <w:rPr>
          <w:rFonts w:ascii="Times New Roman" w:hAnsi="Times New Roman" w:cs="Times New Roman"/>
          <w:bCs/>
          <w:sz w:val="24"/>
          <w:szCs w:val="24"/>
        </w:rPr>
        <w:t>«Стороны»</w:t>
      </w:r>
      <w:r w:rsidRPr="00956FA4">
        <w:rPr>
          <w:rFonts w:ascii="Times New Roman" w:hAnsi="Times New Roman" w:cs="Times New Roman"/>
          <w:sz w:val="24"/>
          <w:szCs w:val="24"/>
        </w:rPr>
        <w:t xml:space="preserve">, заключили настоящий Договор о нижеследующем.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206355">
        <w:rPr>
          <w:rFonts w:ascii="Times New Roman" w:hAnsi="Times New Roman" w:cs="Times New Roman"/>
          <w:sz w:val="24"/>
          <w:szCs w:val="24"/>
        </w:rPr>
        <w:t>1_</w:t>
      </w:r>
      <w:r>
        <w:rPr>
          <w:rFonts w:ascii="Times New Roman" w:hAnsi="Times New Roman" w:cs="Times New Roman"/>
          <w:sz w:val="24"/>
          <w:szCs w:val="24"/>
        </w:rPr>
        <w:t xml:space="preserve"> г. </w:t>
      </w:r>
      <w:r w:rsidRPr="00956FA4">
        <w:rPr>
          <w:rFonts w:ascii="Times New Roman" w:hAnsi="Times New Roman" w:cs="Times New Roman"/>
          <w:sz w:val="24"/>
          <w:szCs w:val="24"/>
        </w:rPr>
        <w:t xml:space="preserve">Организатором торгов </w:t>
      </w:r>
      <w:r w:rsidR="00F05623">
        <w:rPr>
          <w:rFonts w:ascii="Times New Roman" w:hAnsi="Times New Roman" w:cs="Times New Roman"/>
          <w:sz w:val="24"/>
          <w:szCs w:val="24"/>
        </w:rPr>
        <w:t>–</w:t>
      </w:r>
      <w:r w:rsidRPr="00956FA4">
        <w:rPr>
          <w:rFonts w:ascii="Times New Roman" w:hAnsi="Times New Roman" w:cs="Times New Roman"/>
          <w:sz w:val="24"/>
          <w:szCs w:val="24"/>
        </w:rPr>
        <w:t xml:space="preserve"> </w:t>
      </w:r>
      <w:r w:rsidR="00F05623">
        <w:rPr>
          <w:rFonts w:ascii="Times New Roman" w:hAnsi="Times New Roman" w:cs="Times New Roman"/>
          <w:sz w:val="24"/>
          <w:szCs w:val="24"/>
        </w:rPr>
        <w:t>конкурсным управляющим ООО «Лизинг</w:t>
      </w:r>
      <w:r w:rsidR="00281B61">
        <w:rPr>
          <w:rFonts w:ascii="Times New Roman" w:hAnsi="Times New Roman" w:cs="Times New Roman"/>
          <w:sz w:val="24"/>
          <w:szCs w:val="24"/>
        </w:rPr>
        <w:t xml:space="preserve"> центр</w:t>
      </w:r>
      <w:r w:rsidR="00F05623">
        <w:rPr>
          <w:rFonts w:ascii="Times New Roman" w:hAnsi="Times New Roman" w:cs="Times New Roman"/>
          <w:sz w:val="24"/>
          <w:szCs w:val="24"/>
        </w:rPr>
        <w:t xml:space="preserve">» </w:t>
      </w:r>
      <w:r w:rsidR="0005362A">
        <w:rPr>
          <w:rFonts w:ascii="Times New Roman" w:hAnsi="Times New Roman" w:cs="Times New Roman"/>
          <w:sz w:val="24"/>
          <w:szCs w:val="24"/>
        </w:rPr>
        <w:t xml:space="preserve">Глушковым </w:t>
      </w:r>
      <w:r w:rsidR="00F05623">
        <w:rPr>
          <w:rFonts w:ascii="Times New Roman" w:hAnsi="Times New Roman" w:cs="Times New Roman"/>
          <w:sz w:val="24"/>
          <w:szCs w:val="24"/>
        </w:rPr>
        <w:t>Д.В</w:t>
      </w:r>
      <w:r w:rsidRPr="00956FA4">
        <w:rPr>
          <w:rFonts w:ascii="Times New Roman" w:hAnsi="Times New Roman" w:cs="Times New Roman"/>
          <w:sz w:val="24"/>
          <w:szCs w:val="24"/>
        </w:rPr>
        <w:t xml:space="preserve">.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3E1DED" w:rsidRPr="003E1DED">
        <w:rPr>
          <w:rFonts w:ascii="Times New Roman" w:hAnsi="Times New Roman" w:cs="Times New Roman"/>
          <w:sz w:val="24"/>
          <w:szCs w:val="24"/>
        </w:rPr>
        <w:t xml:space="preserve">_______ 201_ 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p>
    <w:p w:rsidR="00BD53CA" w:rsidRPr="00956FA4" w:rsidRDefault="003E1DED" w:rsidP="00BD53CA">
      <w:pPr>
        <w:spacing w:after="0" w:line="276"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Pr="003E1DED">
        <w:rPr>
          <w:rFonts w:ascii="Times New Roman" w:hAnsi="Times New Roman" w:cs="Times New Roman"/>
          <w:sz w:val="24"/>
          <w:szCs w:val="24"/>
        </w:rPr>
        <w:t>«__» _______ 201_ г.</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a3"/>
        <w:tblW w:w="10207" w:type="dxa"/>
        <w:tblInd w:w="-714" w:type="dxa"/>
        <w:tblLook w:val="04A0" w:firstRow="1" w:lastRow="0" w:firstColumn="1" w:lastColumn="0" w:noHBand="0" w:noVBand="1"/>
      </w:tblPr>
      <w:tblGrid>
        <w:gridCol w:w="1135"/>
        <w:gridCol w:w="1714"/>
        <w:gridCol w:w="2396"/>
        <w:gridCol w:w="2694"/>
        <w:gridCol w:w="2268"/>
      </w:tblGrid>
      <w:tr w:rsidR="00BD53CA" w:rsidRPr="00956FA4" w:rsidTr="00CD71A6">
        <w:tc>
          <w:tcPr>
            <w:tcW w:w="10207" w:type="dxa"/>
            <w:gridSpan w:val="5"/>
          </w:tcPr>
          <w:p w:rsidR="00BD53CA" w:rsidRPr="00956FA4" w:rsidRDefault="00BD53CA" w:rsidP="00CD71A6">
            <w:pPr>
              <w:spacing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rsidTr="00226EFB">
        <w:tc>
          <w:tcPr>
            <w:tcW w:w="1135" w:type="dxa"/>
            <w:vAlign w:val="center"/>
          </w:tcPr>
          <w:p w:rsidR="00BD53CA" w:rsidRPr="00956FA4" w:rsidRDefault="00BD53CA" w:rsidP="00CD71A6">
            <w:pPr>
              <w:spacing w:line="276" w:lineRule="auto"/>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rsidR="00BD53CA" w:rsidRPr="00956FA4" w:rsidRDefault="00BD53CA" w:rsidP="00CD71A6">
            <w:pPr>
              <w:spacing w:line="276" w:lineRule="auto"/>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Размер дебиторской задолженности согласно балансу в части основного долга</w:t>
            </w:r>
          </w:p>
        </w:tc>
        <w:tc>
          <w:tcPr>
            <w:tcW w:w="2268" w:type="dxa"/>
            <w:vAlign w:val="center"/>
          </w:tcPr>
          <w:p w:rsidR="00BD53CA" w:rsidRPr="00956FA4" w:rsidRDefault="00895B1B" w:rsidP="00895B1B">
            <w:pPr>
              <w:spacing w:line="276"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rsidTr="00226EFB">
        <w:tc>
          <w:tcPr>
            <w:tcW w:w="1135" w:type="dxa"/>
          </w:tcPr>
          <w:p w:rsidR="00BD53CA" w:rsidRPr="003F3E38" w:rsidRDefault="00BD53CA" w:rsidP="007C7178">
            <w:pPr>
              <w:spacing w:line="276" w:lineRule="auto"/>
              <w:ind w:left="-108" w:right="-108"/>
              <w:jc w:val="center"/>
              <w:rPr>
                <w:rFonts w:ascii="Times New Roman" w:hAnsi="Times New Roman" w:cs="Times New Roman"/>
                <w:sz w:val="24"/>
                <w:szCs w:val="24"/>
              </w:rPr>
            </w:pPr>
          </w:p>
        </w:tc>
        <w:tc>
          <w:tcPr>
            <w:tcW w:w="1714" w:type="dxa"/>
          </w:tcPr>
          <w:p w:rsidR="007C7178" w:rsidRPr="003F3E38" w:rsidRDefault="007C7178" w:rsidP="00CD71A6">
            <w:pPr>
              <w:spacing w:line="276" w:lineRule="auto"/>
              <w:ind w:left="-108" w:right="-108"/>
              <w:jc w:val="center"/>
              <w:rPr>
                <w:rFonts w:ascii="Times New Roman" w:hAnsi="Times New Roman" w:cs="Times New Roman"/>
                <w:sz w:val="24"/>
                <w:szCs w:val="24"/>
              </w:rPr>
            </w:pPr>
          </w:p>
        </w:tc>
        <w:tc>
          <w:tcPr>
            <w:tcW w:w="2396" w:type="dxa"/>
          </w:tcPr>
          <w:p w:rsidR="00BD53CA" w:rsidRPr="003F3E38" w:rsidRDefault="00BD53CA" w:rsidP="00895B1B">
            <w:pPr>
              <w:spacing w:line="276" w:lineRule="auto"/>
              <w:ind w:left="-108" w:right="-108"/>
              <w:jc w:val="center"/>
              <w:rPr>
                <w:rFonts w:ascii="Times New Roman" w:hAnsi="Times New Roman" w:cs="Times New Roman"/>
                <w:sz w:val="24"/>
                <w:szCs w:val="24"/>
              </w:rPr>
            </w:pPr>
          </w:p>
        </w:tc>
        <w:tc>
          <w:tcPr>
            <w:tcW w:w="2694" w:type="dxa"/>
          </w:tcPr>
          <w:p w:rsidR="00BD53CA" w:rsidRPr="003F3E38" w:rsidRDefault="00BD53CA" w:rsidP="00CD71A6">
            <w:pPr>
              <w:spacing w:line="276" w:lineRule="auto"/>
              <w:ind w:left="-108" w:right="-143"/>
              <w:jc w:val="center"/>
              <w:rPr>
                <w:rFonts w:ascii="Times New Roman" w:hAnsi="Times New Roman" w:cs="Times New Roman"/>
                <w:sz w:val="24"/>
                <w:szCs w:val="24"/>
              </w:rPr>
            </w:pPr>
          </w:p>
        </w:tc>
        <w:tc>
          <w:tcPr>
            <w:tcW w:w="2268" w:type="dxa"/>
          </w:tcPr>
          <w:p w:rsidR="00BD53CA" w:rsidRPr="003F3E38" w:rsidRDefault="00BD53CA" w:rsidP="00CD71A6">
            <w:pPr>
              <w:spacing w:line="276" w:lineRule="auto"/>
              <w:ind w:left="-108" w:right="-108"/>
              <w:jc w:val="center"/>
              <w:rPr>
                <w:rFonts w:ascii="Times New Roman" w:hAnsi="Times New Roman" w:cs="Times New Roman"/>
                <w:sz w:val="24"/>
                <w:szCs w:val="24"/>
              </w:rPr>
            </w:pPr>
          </w:p>
        </w:tc>
      </w:tr>
      <w:tr w:rsidR="00BD53CA" w:rsidRPr="00956FA4" w:rsidTr="00CD71A6">
        <w:tc>
          <w:tcPr>
            <w:tcW w:w="7939" w:type="dxa"/>
            <w:gridSpan w:val="4"/>
          </w:tcPr>
          <w:p w:rsidR="00BD53CA" w:rsidRPr="00956FA4" w:rsidRDefault="00BD53CA" w:rsidP="007C7178">
            <w:pPr>
              <w:spacing w:line="276" w:lineRule="auto"/>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rsidR="00BD53CA" w:rsidRPr="00956FA4" w:rsidRDefault="00BD53CA" w:rsidP="00CD71A6">
            <w:pPr>
              <w:spacing w:line="276" w:lineRule="auto"/>
              <w:ind w:left="-709" w:right="-143" w:firstLine="709"/>
              <w:jc w:val="center"/>
              <w:rPr>
                <w:rFonts w:ascii="Times New Roman" w:hAnsi="Times New Roman" w:cs="Times New Roman"/>
                <w:b/>
                <w:sz w:val="24"/>
                <w:szCs w:val="24"/>
              </w:rPr>
            </w:pPr>
          </w:p>
        </w:tc>
      </w:tr>
    </w:tbl>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2.1. Цедент обязан передать Цессионарию в 5-дневный срок с даты полной оплаты Цессионарием суммы Дого</w:t>
      </w:r>
      <w:r>
        <w:rPr>
          <w:rFonts w:ascii="Times New Roman" w:hAnsi="Times New Roman" w:cs="Times New Roman"/>
          <w:sz w:val="24"/>
          <w:szCs w:val="24"/>
        </w:rPr>
        <w:t xml:space="preserve">вора по акту приема-передачи </w:t>
      </w:r>
      <w:r w:rsidRPr="00956FA4">
        <w:rPr>
          <w:rFonts w:ascii="Times New Roman" w:hAnsi="Times New Roman" w:cs="Times New Roman"/>
          <w:sz w:val="24"/>
          <w:szCs w:val="24"/>
        </w:rPr>
        <w:t xml:space="preserve">имеющиеся документы, удостоверяющие права (требования).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по </w:t>
      </w:r>
      <w:r w:rsidRPr="00956FA4">
        <w:rPr>
          <w:rFonts w:ascii="Times New Roman" w:hAnsi="Times New Roman" w:cs="Times New Roman"/>
          <w:sz w:val="24"/>
          <w:szCs w:val="24"/>
        </w:rPr>
        <w:t xml:space="preserve">обязательствам указанным в п.1.1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2.5. </w:t>
      </w:r>
      <w:r w:rsidR="00281B61" w:rsidRPr="00281B61">
        <w:rPr>
          <w:rFonts w:ascii="Times New Roman" w:hAnsi="Times New Roman" w:cs="Times New Roman"/>
          <w:sz w:val="24"/>
          <w:szCs w:val="24"/>
        </w:rPr>
        <w:t>Уведомление Должников о состоявшейся уступке прав требований производится Цессионарием.</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a3"/>
        <w:tblW w:w="10065" w:type="dxa"/>
        <w:tblInd w:w="-714" w:type="dxa"/>
        <w:tblLook w:val="04A0" w:firstRow="1" w:lastRow="0" w:firstColumn="1" w:lastColumn="0" w:noHBand="0" w:noVBand="1"/>
      </w:tblPr>
      <w:tblGrid>
        <w:gridCol w:w="1135"/>
        <w:gridCol w:w="2834"/>
        <w:gridCol w:w="3611"/>
        <w:gridCol w:w="2485"/>
      </w:tblGrid>
      <w:tr w:rsidR="00BD53CA" w:rsidRPr="00956FA4" w:rsidTr="00226EFB">
        <w:trPr>
          <w:trHeight w:val="858"/>
        </w:trPr>
        <w:tc>
          <w:tcPr>
            <w:tcW w:w="1135"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rsidR="00BD53CA" w:rsidRPr="00956FA4" w:rsidRDefault="00BD53CA" w:rsidP="00CD71A6">
            <w:pPr>
              <w:spacing w:line="276" w:lineRule="auto"/>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CD71A6">
            <w:pPr>
              <w:spacing w:line="276" w:lineRule="auto"/>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rsidR="00BD53CA" w:rsidRPr="00956FA4" w:rsidRDefault="00BD53CA" w:rsidP="00CD71A6">
            <w:pPr>
              <w:spacing w:line="276" w:lineRule="auto"/>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rsidR="00BD53CA" w:rsidRPr="00956FA4" w:rsidRDefault="00BD53CA" w:rsidP="00CD71A6">
            <w:pPr>
              <w:spacing w:line="276" w:lineRule="auto"/>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rsidTr="00CD71A6">
        <w:tc>
          <w:tcPr>
            <w:tcW w:w="1135" w:type="dxa"/>
          </w:tcPr>
          <w:p w:rsidR="00BD53CA" w:rsidRPr="00956FA4" w:rsidRDefault="00BD53CA" w:rsidP="00CD71A6">
            <w:pPr>
              <w:spacing w:line="276" w:lineRule="auto"/>
              <w:ind w:left="-108" w:right="-108"/>
              <w:jc w:val="center"/>
              <w:rPr>
                <w:rFonts w:ascii="Times New Roman" w:hAnsi="Times New Roman" w:cs="Times New Roman"/>
                <w:b/>
                <w:sz w:val="24"/>
                <w:szCs w:val="24"/>
              </w:rPr>
            </w:pPr>
          </w:p>
        </w:tc>
        <w:tc>
          <w:tcPr>
            <w:tcW w:w="2834" w:type="dxa"/>
          </w:tcPr>
          <w:p w:rsidR="00BD53CA" w:rsidRPr="00956FA4" w:rsidRDefault="00BD53CA" w:rsidP="007C7178">
            <w:pPr>
              <w:spacing w:line="276" w:lineRule="auto"/>
              <w:ind w:left="-108" w:right="-109"/>
              <w:jc w:val="center"/>
              <w:rPr>
                <w:rFonts w:ascii="Times New Roman" w:hAnsi="Times New Roman" w:cs="Times New Roman"/>
                <w:sz w:val="24"/>
                <w:szCs w:val="24"/>
              </w:rPr>
            </w:pPr>
          </w:p>
        </w:tc>
        <w:tc>
          <w:tcPr>
            <w:tcW w:w="3611" w:type="dxa"/>
          </w:tcPr>
          <w:p w:rsidR="00BD53CA" w:rsidRPr="00956FA4" w:rsidRDefault="00BD53CA" w:rsidP="007C7178">
            <w:pPr>
              <w:spacing w:line="276" w:lineRule="auto"/>
              <w:ind w:left="-107" w:right="-41"/>
              <w:jc w:val="center"/>
              <w:rPr>
                <w:rFonts w:ascii="Times New Roman" w:hAnsi="Times New Roman" w:cs="Times New Roman"/>
                <w:sz w:val="24"/>
                <w:szCs w:val="24"/>
              </w:rPr>
            </w:pPr>
          </w:p>
        </w:tc>
        <w:tc>
          <w:tcPr>
            <w:tcW w:w="2485" w:type="dxa"/>
            <w:vAlign w:val="center"/>
          </w:tcPr>
          <w:p w:rsidR="00BD53CA" w:rsidRPr="00226EFB" w:rsidRDefault="00BD53CA" w:rsidP="00CD71A6">
            <w:pPr>
              <w:spacing w:line="276" w:lineRule="auto"/>
              <w:ind w:left="-175" w:right="-143"/>
              <w:jc w:val="center"/>
              <w:rPr>
                <w:rFonts w:ascii="Times New Roman" w:hAnsi="Times New Roman" w:cs="Times New Roman"/>
                <w:sz w:val="24"/>
                <w:szCs w:val="24"/>
              </w:rPr>
            </w:pPr>
          </w:p>
        </w:tc>
      </w:tr>
    </w:tbl>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3.2. Оплата указанной в п. 3.1 настоящего Договора суммы производится путем перечисления денежных средств на расчетный (основной) счет Цедента в течение 30 дней с даты заключения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Задаток, перечисленный Цессионарием в размере </w:t>
      </w:r>
      <w:r w:rsidR="00895B1B"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xml:space="preserve">, засчитывается в счет оплаты покупной цены прав (требований).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3.3. 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3.4. Обязательства по проведению расчетов считаются исполненными с момента поступления денежных средств на расчетный счет Цедента. </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(иное основание) и соответствующая ему цена согласно таблице в п.3.1 настоящего договора), подлежащую оплате по настоящему договору.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4.3. Споры по Договору разрешаются путем переговоров. В случае </w:t>
      </w:r>
      <w:proofErr w:type="spellStart"/>
      <w:r w:rsidRPr="00956FA4">
        <w:rPr>
          <w:rFonts w:ascii="Times New Roman" w:hAnsi="Times New Roman" w:cs="Times New Roman"/>
          <w:sz w:val="24"/>
          <w:szCs w:val="24"/>
        </w:rPr>
        <w:t>неурегулирования</w:t>
      </w:r>
      <w:proofErr w:type="spellEnd"/>
      <w:r w:rsidRPr="00956FA4">
        <w:rPr>
          <w:rFonts w:ascii="Times New Roman" w:hAnsi="Times New Roman" w:cs="Times New Roman"/>
          <w:sz w:val="24"/>
          <w:szCs w:val="24"/>
        </w:rPr>
        <w:t xml:space="preserve"> - передаются на рассмотрение в арбитражный суд.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5.1.2.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5.1.3.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D53CA" w:rsidRPr="00956FA4" w:rsidTr="00CD71A6">
        <w:tc>
          <w:tcPr>
            <w:tcW w:w="5103" w:type="dxa"/>
          </w:tcPr>
          <w:p w:rsidR="00BD53CA" w:rsidRPr="00956FA4" w:rsidRDefault="00BD53CA" w:rsidP="00CD71A6">
            <w:pPr>
              <w:spacing w:line="276" w:lineRule="auto"/>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rsidR="00281B61" w:rsidRPr="00281B61" w:rsidRDefault="00281B61" w:rsidP="00281B61">
            <w:pPr>
              <w:suppressAutoHyphens/>
              <w:spacing w:line="276" w:lineRule="auto"/>
              <w:ind w:left="-103"/>
              <w:jc w:val="both"/>
              <w:rPr>
                <w:rFonts w:ascii="Times New Roman" w:eastAsia="Calibri" w:hAnsi="Times New Roman" w:cs="Times New Roman"/>
                <w:b/>
                <w:bCs/>
                <w:color w:val="000000"/>
                <w:sz w:val="24"/>
                <w:szCs w:val="24"/>
                <w:lang w:eastAsia="ar-SA"/>
              </w:rPr>
            </w:pPr>
            <w:r w:rsidRPr="00281B61">
              <w:rPr>
                <w:rFonts w:ascii="Times New Roman" w:eastAsia="Calibri" w:hAnsi="Times New Roman" w:cs="Times New Roman"/>
                <w:b/>
                <w:bCs/>
                <w:color w:val="000000"/>
                <w:sz w:val="24"/>
                <w:szCs w:val="24"/>
                <w:lang w:eastAsia="ar-SA"/>
              </w:rPr>
              <w:t>Общество с ограниченной ответственностью «Лизинг Центр»</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bidi="ru-RU"/>
              </w:rPr>
            </w:pPr>
            <w:r w:rsidRPr="00281B61">
              <w:rPr>
                <w:rFonts w:ascii="Times New Roman" w:eastAsia="Calibri" w:hAnsi="Times New Roman" w:cs="Times New Roman"/>
                <w:bCs/>
                <w:color w:val="000000"/>
                <w:sz w:val="24"/>
                <w:szCs w:val="24"/>
                <w:lang w:eastAsia="ar-SA" w:bidi="ru-RU"/>
              </w:rPr>
              <w:t>123007, г. Москва, ш. Хорошёвское, д. 32А, стр. 22</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bidi="ru-RU"/>
              </w:rPr>
            </w:pPr>
            <w:r w:rsidRPr="00281B61">
              <w:rPr>
                <w:rFonts w:ascii="Times New Roman" w:eastAsia="Calibri" w:hAnsi="Times New Roman" w:cs="Times New Roman"/>
                <w:color w:val="000000"/>
                <w:sz w:val="24"/>
                <w:szCs w:val="24"/>
                <w:lang w:eastAsia="ar-SA"/>
              </w:rPr>
              <w:t xml:space="preserve">ОГРН </w:t>
            </w:r>
            <w:r w:rsidRPr="00281B61">
              <w:rPr>
                <w:rFonts w:ascii="Times New Roman" w:eastAsia="Calibri" w:hAnsi="Times New Roman" w:cs="Times New Roman"/>
                <w:bCs/>
                <w:color w:val="000000"/>
                <w:sz w:val="24"/>
                <w:szCs w:val="24"/>
                <w:lang w:eastAsia="ar-SA" w:bidi="ru-RU"/>
              </w:rPr>
              <w:t>1057746016492</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ИНН </w:t>
            </w:r>
            <w:r w:rsidRPr="00281B61">
              <w:rPr>
                <w:rFonts w:ascii="Times New Roman" w:eastAsia="Calibri" w:hAnsi="Times New Roman" w:cs="Times New Roman"/>
                <w:bCs/>
                <w:color w:val="000000"/>
                <w:sz w:val="24"/>
                <w:szCs w:val="24"/>
                <w:lang w:eastAsia="ar-SA" w:bidi="ru-RU"/>
              </w:rPr>
              <w:t>7714585647</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lastRenderedPageBreak/>
              <w:t>КПП 771401001</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р/с 40702810300000019415</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rPr>
            </w:pPr>
            <w:r w:rsidRPr="00281B61">
              <w:rPr>
                <w:rFonts w:ascii="Times New Roman" w:eastAsia="Calibri" w:hAnsi="Times New Roman" w:cs="Times New Roman"/>
                <w:bCs/>
                <w:color w:val="000000"/>
                <w:sz w:val="24"/>
                <w:szCs w:val="24"/>
                <w:lang w:eastAsia="ar-SA"/>
              </w:rPr>
              <w:t>в филиале АО «Райффайзенбанк»</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rPr>
            </w:pPr>
            <w:r w:rsidRPr="00281B61">
              <w:rPr>
                <w:rFonts w:ascii="Times New Roman" w:eastAsia="Calibri" w:hAnsi="Times New Roman" w:cs="Times New Roman"/>
                <w:bCs/>
                <w:color w:val="000000"/>
                <w:sz w:val="24"/>
                <w:szCs w:val="24"/>
                <w:lang w:eastAsia="ar-SA"/>
              </w:rPr>
              <w:t>к/с 30101810200000000700</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bCs/>
                <w:color w:val="000000"/>
                <w:sz w:val="24"/>
                <w:szCs w:val="24"/>
                <w:lang w:eastAsia="ar-SA"/>
              </w:rPr>
              <w:t>БИК 044525700</w:t>
            </w:r>
          </w:p>
          <w:p w:rsidR="00281B61" w:rsidRPr="00281B61" w:rsidRDefault="00281B61" w:rsidP="00281B61">
            <w:pPr>
              <w:suppressAutoHyphens/>
              <w:spacing w:line="276" w:lineRule="auto"/>
              <w:jc w:val="both"/>
              <w:rPr>
                <w:rFonts w:ascii="Times New Roman" w:eastAsia="Calibri" w:hAnsi="Times New Roman" w:cs="Times New Roman"/>
                <w:color w:val="000000"/>
                <w:sz w:val="24"/>
                <w:szCs w:val="24"/>
                <w:lang w:eastAsia="ar-SA"/>
              </w:rPr>
            </w:pP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Конкурсный управляющий </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ООО «Лизинг центр» </w:t>
            </w:r>
          </w:p>
          <w:p w:rsidR="00895B1B" w:rsidRPr="00956FA4" w:rsidRDefault="00895B1B" w:rsidP="00895B1B">
            <w:pPr>
              <w:spacing w:line="276" w:lineRule="auto"/>
              <w:ind w:left="-103"/>
              <w:jc w:val="both"/>
              <w:rPr>
                <w:rFonts w:ascii="Times New Roman" w:hAnsi="Times New Roman" w:cs="Times New Roman"/>
                <w:sz w:val="24"/>
                <w:szCs w:val="24"/>
              </w:rPr>
            </w:pPr>
          </w:p>
          <w:p w:rsidR="00BD53CA" w:rsidRPr="00956FA4" w:rsidRDefault="00BD53CA" w:rsidP="00CD71A6">
            <w:pPr>
              <w:spacing w:line="276" w:lineRule="auto"/>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_______________________ / </w:t>
            </w:r>
            <w:r w:rsidR="0005362A">
              <w:rPr>
                <w:rFonts w:ascii="Times New Roman" w:hAnsi="Times New Roman" w:cs="Times New Roman"/>
                <w:sz w:val="24"/>
                <w:szCs w:val="24"/>
              </w:rPr>
              <w:t>Глушков</w:t>
            </w:r>
            <w:r w:rsidRPr="00956FA4">
              <w:rPr>
                <w:rFonts w:ascii="Times New Roman" w:hAnsi="Times New Roman" w:cs="Times New Roman"/>
                <w:sz w:val="24"/>
                <w:szCs w:val="24"/>
              </w:rPr>
              <w:t xml:space="preserve"> Д.В./ </w:t>
            </w:r>
          </w:p>
          <w:p w:rsidR="00BD53CA" w:rsidRPr="00956FA4" w:rsidRDefault="00BD53CA" w:rsidP="00CD71A6">
            <w:pPr>
              <w:spacing w:line="276" w:lineRule="auto"/>
              <w:ind w:right="-143"/>
              <w:jc w:val="both"/>
              <w:rPr>
                <w:rFonts w:ascii="Times New Roman" w:hAnsi="Times New Roman" w:cs="Times New Roman"/>
                <w:b/>
                <w:bCs/>
                <w:sz w:val="24"/>
                <w:szCs w:val="24"/>
              </w:rPr>
            </w:pPr>
          </w:p>
        </w:tc>
        <w:tc>
          <w:tcPr>
            <w:tcW w:w="5104" w:type="dxa"/>
          </w:tcPr>
          <w:p w:rsidR="00BD53CA" w:rsidRPr="00956FA4" w:rsidRDefault="00BD53CA" w:rsidP="00CD71A6">
            <w:pPr>
              <w:spacing w:line="276" w:lineRule="auto"/>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lastRenderedPageBreak/>
              <w:t>Цессионарий:</w:t>
            </w:r>
            <w:r w:rsidRPr="00956FA4">
              <w:rPr>
                <w:rFonts w:ascii="Times New Roman" w:hAnsi="Times New Roman" w:cs="Times New Roman"/>
                <w:sz w:val="24"/>
                <w:szCs w:val="24"/>
              </w:rPr>
              <w:t xml:space="preserve"> </w:t>
            </w:r>
          </w:p>
          <w:p w:rsidR="00BD53CA" w:rsidRPr="00956FA4" w:rsidRDefault="00BD53CA" w:rsidP="00CD71A6">
            <w:pPr>
              <w:spacing w:line="276" w:lineRule="auto"/>
              <w:ind w:left="181" w:right="-113"/>
              <w:jc w:val="both"/>
              <w:rPr>
                <w:rFonts w:ascii="Times New Roman" w:hAnsi="Times New Roman" w:cs="Times New Roman"/>
                <w:sz w:val="24"/>
                <w:szCs w:val="24"/>
              </w:rPr>
            </w:pPr>
          </w:p>
          <w:p w:rsidR="006553C8" w:rsidRDefault="006553C8"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sz w:val="24"/>
                <w:szCs w:val="24"/>
              </w:rPr>
            </w:pPr>
          </w:p>
          <w:p w:rsidR="00281B61" w:rsidRDefault="00281B61" w:rsidP="00630435">
            <w:pPr>
              <w:spacing w:line="276" w:lineRule="auto"/>
              <w:ind w:right="-113"/>
              <w:jc w:val="both"/>
              <w:rPr>
                <w:rFonts w:ascii="Times New Roman" w:hAnsi="Times New Roman" w:cs="Times New Roman"/>
                <w:sz w:val="24"/>
                <w:szCs w:val="24"/>
              </w:rPr>
            </w:pPr>
          </w:p>
          <w:p w:rsidR="00BD53CA" w:rsidRPr="00956FA4" w:rsidRDefault="00BD53CA" w:rsidP="00CD71A6">
            <w:pPr>
              <w:spacing w:line="276" w:lineRule="auto"/>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rsidR="00BD53CA" w:rsidRPr="00956FA4" w:rsidRDefault="00BD53CA" w:rsidP="00CD71A6">
            <w:pPr>
              <w:spacing w:line="276" w:lineRule="auto"/>
              <w:ind w:left="-709" w:right="-143" w:firstLine="709"/>
              <w:jc w:val="both"/>
              <w:rPr>
                <w:rFonts w:ascii="Times New Roman" w:hAnsi="Times New Roman" w:cs="Times New Roman"/>
                <w:b/>
                <w:bCs/>
                <w:sz w:val="24"/>
                <w:szCs w:val="24"/>
              </w:rPr>
            </w:pPr>
          </w:p>
        </w:tc>
      </w:tr>
    </w:tbl>
    <w:p w:rsidR="00BD53CA" w:rsidRPr="00D44C16" w:rsidRDefault="00BD53CA" w:rsidP="00BD53CA">
      <w:pPr>
        <w:rPr>
          <w:rFonts w:ascii="Times New Roman" w:hAnsi="Times New Roman" w:cs="Times New Roman"/>
          <w:sz w:val="24"/>
          <w:szCs w:val="24"/>
        </w:rPr>
      </w:pPr>
    </w:p>
    <w:p w:rsidR="005D3370" w:rsidRDefault="005D3370"/>
    <w:sectPr w:rsidR="005D3370" w:rsidSect="00131E58">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CA"/>
    <w:rsid w:val="0005362A"/>
    <w:rsid w:val="000A6E58"/>
    <w:rsid w:val="000F14E7"/>
    <w:rsid w:val="00206355"/>
    <w:rsid w:val="00226EFB"/>
    <w:rsid w:val="00281B61"/>
    <w:rsid w:val="0028451A"/>
    <w:rsid w:val="003A6F28"/>
    <w:rsid w:val="003E1DED"/>
    <w:rsid w:val="00480502"/>
    <w:rsid w:val="004D4C18"/>
    <w:rsid w:val="005D3370"/>
    <w:rsid w:val="00630435"/>
    <w:rsid w:val="006553C8"/>
    <w:rsid w:val="007B475A"/>
    <w:rsid w:val="007C7178"/>
    <w:rsid w:val="008176A4"/>
    <w:rsid w:val="008231E1"/>
    <w:rsid w:val="00895B1B"/>
    <w:rsid w:val="009D29F1"/>
    <w:rsid w:val="00A63EB9"/>
    <w:rsid w:val="00A66D0F"/>
    <w:rsid w:val="00BD53CA"/>
    <w:rsid w:val="00BD709C"/>
    <w:rsid w:val="00BE311A"/>
    <w:rsid w:val="00BE3C16"/>
    <w:rsid w:val="00BF6703"/>
    <w:rsid w:val="00C366E4"/>
    <w:rsid w:val="00CB3923"/>
    <w:rsid w:val="00D141A0"/>
    <w:rsid w:val="00D32153"/>
    <w:rsid w:val="00EF2110"/>
    <w:rsid w:val="00F05623"/>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1</cp:lastModifiedBy>
  <cp:revision>27</cp:revision>
  <dcterms:created xsi:type="dcterms:W3CDTF">2019-02-25T11:45:00Z</dcterms:created>
  <dcterms:modified xsi:type="dcterms:W3CDTF">2021-03-19T08:27:00Z</dcterms:modified>
</cp:coreProperties>
</file>