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3D41E49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</w:t>
      </w:r>
      <w:r w:rsidR="00572C9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«___»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DCE7BB" w14:textId="093235A9" w:rsidR="00572C9D" w:rsidRDefault="00572C9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7562D" w14:textId="755B1FB9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50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8FCB0FE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037B2EA" w:rsidR="00F56FF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D77C7E" w14:textId="52E7F7A7" w:rsidR="00F50B5A" w:rsidRDefault="00F50B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0B5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недвижимого имущества (далее по тексту - «Договор») о нижеследующем:</w:t>
      </w:r>
    </w:p>
    <w:p w14:paraId="2814AD6B" w14:textId="77777777" w:rsidR="00083271" w:rsidRPr="008509DF" w:rsidRDefault="00083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2644485C" w:rsidR="00171986" w:rsidRPr="008509DF" w:rsidRDefault="00171986" w:rsidP="0001181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0FDB832" w14:textId="0F562AB5" w:rsidR="00B87B84" w:rsidRDefault="00545F3F" w:rsidP="000B11DF">
      <w:pPr>
        <w:pStyle w:val="a5"/>
        <w:ind w:left="0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1. </w:t>
      </w:r>
      <w:r w:rsidR="00BD7FC5" w:rsidRPr="00545F3F">
        <w:rPr>
          <w:rFonts w:ascii="Verdana" w:hAnsi="Verdana"/>
          <w:color w:val="000000" w:themeColor="text1"/>
        </w:rPr>
        <w:t xml:space="preserve">По </w:t>
      </w:r>
      <w:r w:rsidR="00CB783A" w:rsidRPr="00545F3F">
        <w:rPr>
          <w:rFonts w:ascii="Verdana" w:hAnsi="Verdana"/>
          <w:color w:val="000000" w:themeColor="text1"/>
        </w:rPr>
        <w:t>Договору</w:t>
      </w:r>
      <w:r w:rsidR="00BD7FC5" w:rsidRPr="00545F3F">
        <w:rPr>
          <w:rFonts w:ascii="Verdana" w:hAnsi="Verdana"/>
          <w:color w:val="000000" w:themeColor="text1"/>
        </w:rPr>
        <w:t xml:space="preserve"> </w:t>
      </w:r>
      <w:r w:rsidR="00171986" w:rsidRPr="00545F3F">
        <w:rPr>
          <w:rFonts w:ascii="Verdana" w:hAnsi="Verdana"/>
          <w:color w:val="000000" w:themeColor="text1"/>
        </w:rPr>
        <w:t>Продавец обязуется передать в собственность Покупател</w:t>
      </w:r>
      <w:r w:rsidR="00AA21AE" w:rsidRPr="00545F3F">
        <w:rPr>
          <w:rFonts w:ascii="Verdana" w:hAnsi="Verdana"/>
          <w:color w:val="000000" w:themeColor="text1"/>
        </w:rPr>
        <w:t>я</w:t>
      </w:r>
      <w:r w:rsidR="00171986" w:rsidRPr="00545F3F">
        <w:rPr>
          <w:rFonts w:ascii="Verdana" w:hAnsi="Verdana"/>
          <w:color w:val="000000" w:themeColor="text1"/>
        </w:rPr>
        <w:t xml:space="preserve">, а Покупатель </w:t>
      </w:r>
      <w:r w:rsidR="00171986" w:rsidRPr="00545F3F">
        <w:rPr>
          <w:rFonts w:ascii="Verdana" w:hAnsi="Verdana"/>
        </w:rPr>
        <w:t xml:space="preserve">обязуется принять и оплатить </w:t>
      </w:r>
      <w:r w:rsidR="003C32B2" w:rsidRPr="00011811">
        <w:rPr>
          <w:rFonts w:ascii="Verdana" w:hAnsi="Verdana"/>
        </w:rPr>
        <w:t>недвижимое имущ</w:t>
      </w:r>
      <w:r w:rsidR="00FF7586" w:rsidRPr="00011811">
        <w:rPr>
          <w:rFonts w:ascii="Verdana" w:hAnsi="Verdana"/>
        </w:rPr>
        <w:t xml:space="preserve">ество </w:t>
      </w:r>
      <w:r w:rsidR="00700BD4" w:rsidRPr="009217B1">
        <w:rPr>
          <w:rFonts w:ascii="Verdana" w:hAnsi="Verdana"/>
          <w:color w:val="000000" w:themeColor="text1"/>
        </w:rPr>
        <w:t>(да</w:t>
      </w:r>
      <w:r w:rsidR="00700BD4">
        <w:rPr>
          <w:rFonts w:ascii="Verdana" w:hAnsi="Verdana"/>
          <w:color w:val="000000" w:themeColor="text1"/>
        </w:rPr>
        <w:t>лее именуемое – «Н</w:t>
      </w:r>
      <w:r w:rsidR="00700BD4" w:rsidRPr="009217B1">
        <w:rPr>
          <w:rFonts w:ascii="Verdana" w:hAnsi="Verdana"/>
          <w:color w:val="000000" w:themeColor="text1"/>
        </w:rPr>
        <w:t>едвижимое имущество»)</w:t>
      </w:r>
      <w:r w:rsidR="00D1038C" w:rsidRPr="00545F3F">
        <w:rPr>
          <w:rFonts w:ascii="Verdana" w:hAnsi="Verdana"/>
          <w:color w:val="000000" w:themeColor="text1"/>
        </w:rPr>
        <w:t>, в составе</w:t>
      </w:r>
      <w:r w:rsidR="00D1038C" w:rsidRPr="00011811">
        <w:rPr>
          <w:rFonts w:ascii="Verdana" w:hAnsi="Verdana"/>
        </w:rPr>
        <w:t>:</w:t>
      </w:r>
    </w:p>
    <w:p w14:paraId="4A7EBA8A" w14:textId="4089892F" w:rsidR="00700BD4" w:rsidRDefault="00700BD4" w:rsidP="00700BD4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конторы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594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4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 xml:space="preserve">. </w:t>
      </w:r>
      <w:r w:rsidRPr="00FF7586">
        <w:rPr>
          <w:rFonts w:ascii="Verdana" w:hAnsi="Verdana"/>
          <w:color w:val="000000" w:themeColor="text1"/>
        </w:rPr>
        <w:t xml:space="preserve">КН: </w:t>
      </w:r>
      <w:r w:rsidRPr="00CC0059">
        <w:rPr>
          <w:rFonts w:ascii="Verdana" w:hAnsi="Verdana"/>
          <w:color w:val="000000" w:themeColor="text1"/>
        </w:rPr>
        <w:t>24:51:0000000:4452</w:t>
      </w:r>
      <w:r>
        <w:rPr>
          <w:rFonts w:ascii="Verdana" w:hAnsi="Verdana"/>
          <w:color w:val="000000" w:themeColor="text1"/>
        </w:rPr>
        <w:t>;</w:t>
      </w:r>
      <w:r w:rsidRPr="00FF7586">
        <w:rPr>
          <w:rFonts w:ascii="Verdana" w:hAnsi="Verdana" w:cs="Arial"/>
        </w:rPr>
        <w:t xml:space="preserve"> </w:t>
      </w:r>
    </w:p>
    <w:p w14:paraId="7AC721D6" w14:textId="77777777" w:rsidR="00700BD4" w:rsidRDefault="00700BD4" w:rsidP="00700BD4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котельной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129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9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стр.2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4;</w:t>
      </w:r>
      <w:r w:rsidRPr="00FF7586">
        <w:rPr>
          <w:rFonts w:ascii="Verdana" w:hAnsi="Verdana" w:cs="Arial"/>
        </w:rPr>
        <w:t xml:space="preserve"> </w:t>
      </w:r>
    </w:p>
    <w:p w14:paraId="446A098D" w14:textId="77777777" w:rsidR="00700BD4" w:rsidRDefault="00700BD4" w:rsidP="00700BD4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электроцеха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45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5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 3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5;</w:t>
      </w:r>
      <w:r w:rsidRPr="00FF7586">
        <w:rPr>
          <w:rFonts w:ascii="Verdana" w:hAnsi="Verdana" w:cs="Arial"/>
        </w:rPr>
        <w:t xml:space="preserve"> </w:t>
      </w:r>
    </w:p>
    <w:p w14:paraId="32FD34F9" w14:textId="77777777" w:rsidR="00700BD4" w:rsidRDefault="00700BD4" w:rsidP="00700BD4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lastRenderedPageBreak/>
        <w:t>Нежилое здание</w:t>
      </w:r>
      <w:r>
        <w:rPr>
          <w:rFonts w:ascii="Verdana" w:hAnsi="Verdana"/>
          <w:color w:val="000000" w:themeColor="text1"/>
        </w:rPr>
        <w:t xml:space="preserve"> конторы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506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1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стр.4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6;</w:t>
      </w:r>
      <w:r w:rsidRPr="00FF7586">
        <w:rPr>
          <w:rFonts w:ascii="Verdana" w:hAnsi="Verdana" w:cs="Arial"/>
        </w:rPr>
        <w:t xml:space="preserve"> </w:t>
      </w:r>
    </w:p>
    <w:p w14:paraId="36E60AA0" w14:textId="77777777" w:rsidR="00700BD4" w:rsidRDefault="00700BD4" w:rsidP="00700BD4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проходной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11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6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 5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7;</w:t>
      </w:r>
      <w:r w:rsidRPr="00FF7586">
        <w:rPr>
          <w:rFonts w:ascii="Verdana" w:hAnsi="Verdana" w:cs="Arial"/>
        </w:rPr>
        <w:t xml:space="preserve"> </w:t>
      </w:r>
    </w:p>
    <w:p w14:paraId="3232719F" w14:textId="77777777" w:rsidR="00700BD4" w:rsidRDefault="00700BD4" w:rsidP="000B11DF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склада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139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0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 6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8;</w:t>
      </w:r>
      <w:r w:rsidRPr="00FF7586">
        <w:rPr>
          <w:rFonts w:ascii="Verdana" w:hAnsi="Verdana" w:cs="Arial"/>
        </w:rPr>
        <w:t xml:space="preserve"> </w:t>
      </w:r>
    </w:p>
    <w:p w14:paraId="543D9DE7" w14:textId="62F49100" w:rsidR="00700BD4" w:rsidRDefault="00700BD4" w:rsidP="000B11DF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гаража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Pr="00E06EAA">
        <w:rPr>
          <w:rFonts w:ascii="Verdana" w:hAnsi="Verdana"/>
          <w:color w:val="000000" w:themeColor="text1"/>
        </w:rPr>
        <w:t>1681,2</w:t>
      </w:r>
      <w:r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 xml:space="preserve">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стр.7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9</w:t>
      </w:r>
      <w:r w:rsidRPr="00FF7586">
        <w:rPr>
          <w:rFonts w:ascii="Verdana" w:hAnsi="Verdana" w:cs="Arial"/>
        </w:rPr>
        <w:t xml:space="preserve">. </w:t>
      </w:r>
    </w:p>
    <w:p w14:paraId="6E68FAD3" w14:textId="77777777" w:rsidR="00044040" w:rsidRPr="00460C34" w:rsidRDefault="00044040" w:rsidP="00460C34">
      <w:pPr>
        <w:pStyle w:val="a5"/>
        <w:ind w:left="0"/>
        <w:jc w:val="both"/>
        <w:rPr>
          <w:rFonts w:ascii="Verdana" w:hAnsi="Verdana" w:cs="Arial"/>
          <w:sz w:val="10"/>
          <w:szCs w:val="10"/>
        </w:rPr>
      </w:pPr>
    </w:p>
    <w:p w14:paraId="6F0F6349" w14:textId="629D71F9" w:rsidR="00044040" w:rsidRDefault="0063393C" w:rsidP="00460C34">
      <w:pPr>
        <w:pStyle w:val="a5"/>
        <w:ind w:left="0"/>
        <w:jc w:val="both"/>
        <w:rPr>
          <w:rFonts w:ascii="Verdana" w:hAnsi="Verdana" w:cstheme="minorBidi"/>
          <w:color w:val="000000" w:themeColor="text1"/>
        </w:rPr>
      </w:pPr>
      <w:r>
        <w:rPr>
          <w:rFonts w:ascii="Verdana" w:hAnsi="Verdana" w:cstheme="minorBidi"/>
          <w:color w:val="000000" w:themeColor="text1"/>
        </w:rPr>
        <w:t>р</w:t>
      </w:r>
      <w:r w:rsidR="00700BD4" w:rsidRPr="00334C80">
        <w:rPr>
          <w:rFonts w:ascii="Verdana" w:hAnsi="Verdana" w:cstheme="minorBidi"/>
          <w:color w:val="000000" w:themeColor="text1"/>
        </w:rPr>
        <w:t>асположен</w:t>
      </w:r>
      <w:r>
        <w:rPr>
          <w:rFonts w:ascii="Verdana" w:hAnsi="Verdana" w:cstheme="minorBidi"/>
          <w:color w:val="000000" w:themeColor="text1"/>
        </w:rPr>
        <w:t>ные</w:t>
      </w:r>
      <w:r w:rsidR="00700BD4" w:rsidRPr="00334C80">
        <w:rPr>
          <w:rFonts w:ascii="Verdana" w:hAnsi="Verdana" w:cstheme="minorBidi"/>
          <w:color w:val="000000" w:themeColor="text1"/>
        </w:rPr>
        <w:t xml:space="preserve"> </w:t>
      </w:r>
      <w:r w:rsidR="002E7916">
        <w:rPr>
          <w:rFonts w:ascii="Verdana" w:hAnsi="Verdana" w:cstheme="minorBidi"/>
          <w:color w:val="000000" w:themeColor="text1"/>
        </w:rPr>
        <w:t xml:space="preserve">согласно данным ЕГРН </w:t>
      </w:r>
      <w:r w:rsidR="00700BD4" w:rsidRPr="00334C80">
        <w:rPr>
          <w:rFonts w:ascii="Verdana" w:hAnsi="Verdana" w:cstheme="minorBidi"/>
          <w:color w:val="000000" w:themeColor="text1"/>
        </w:rPr>
        <w:t xml:space="preserve">на земельном участке </w:t>
      </w:r>
      <w:r w:rsidR="00700BD4" w:rsidRPr="000B11DF">
        <w:rPr>
          <w:rFonts w:ascii="Verdana" w:hAnsi="Verdana" w:cstheme="minorBidi"/>
          <w:color w:val="000000" w:themeColor="text1"/>
        </w:rPr>
        <w:t>с кадастровым номером 24:51:0204153:</w:t>
      </w:r>
      <w:r w:rsidR="002E7916">
        <w:rPr>
          <w:rFonts w:ascii="Verdana" w:hAnsi="Verdana" w:cstheme="minorBidi"/>
          <w:color w:val="000000" w:themeColor="text1"/>
        </w:rPr>
        <w:t>3</w:t>
      </w:r>
      <w:r w:rsidR="00044040">
        <w:rPr>
          <w:rFonts w:ascii="Verdana" w:hAnsi="Verdana" w:cstheme="minorBidi"/>
          <w:color w:val="000000" w:themeColor="text1"/>
        </w:rPr>
        <w:t>.</w:t>
      </w:r>
    </w:p>
    <w:p w14:paraId="16D19F57" w14:textId="67D47A1E" w:rsidR="00700BD4" w:rsidRPr="00460C34" w:rsidRDefault="00700BD4" w:rsidP="00460C34">
      <w:pPr>
        <w:pStyle w:val="a5"/>
        <w:ind w:left="0"/>
        <w:jc w:val="both"/>
        <w:rPr>
          <w:rFonts w:ascii="Verdana" w:hAnsi="Verdana" w:cstheme="minorBidi"/>
          <w:color w:val="000000" w:themeColor="text1"/>
          <w:sz w:val="10"/>
          <w:szCs w:val="10"/>
        </w:rPr>
      </w:pPr>
      <w:r w:rsidRPr="000B11DF">
        <w:rPr>
          <w:rFonts w:ascii="Verdana" w:hAnsi="Verdana" w:cstheme="minorBidi"/>
          <w:color w:val="000000" w:themeColor="text1"/>
        </w:rPr>
        <w:t xml:space="preserve">  </w:t>
      </w:r>
    </w:p>
    <w:p w14:paraId="5B17787E" w14:textId="77777777" w:rsidR="00E214EB" w:rsidRPr="000B11DF" w:rsidRDefault="00E214EB" w:rsidP="000B11DF">
      <w:pPr>
        <w:pStyle w:val="a5"/>
        <w:ind w:left="0"/>
        <w:jc w:val="both"/>
        <w:rPr>
          <w:rFonts w:ascii="Verdana" w:hAnsi="Verdana" w:cstheme="minorBidi"/>
          <w:color w:val="000000" w:themeColor="text1"/>
          <w:sz w:val="6"/>
          <w:szCs w:val="6"/>
        </w:rPr>
      </w:pPr>
    </w:p>
    <w:p w14:paraId="77E27BFA" w14:textId="0E5D832D" w:rsidR="0063393C" w:rsidRDefault="0063393C" w:rsidP="0063393C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Право аренды земельного участка, общей площадью 13 220,0 кв.м, к</w:t>
      </w:r>
      <w:r>
        <w:rPr>
          <w:rFonts w:ascii="Verdana" w:hAnsi="Verdana"/>
        </w:rPr>
        <w:t>атегория земель: з</w:t>
      </w:r>
      <w:r w:rsidRPr="00DC4F1B">
        <w:rPr>
          <w:rFonts w:ascii="Verdana" w:hAnsi="Verdana"/>
        </w:rPr>
        <w:t>емли населенных пунктов</w:t>
      </w:r>
      <w:r>
        <w:rPr>
          <w:rFonts w:ascii="Verdana" w:hAnsi="Verdana"/>
        </w:rPr>
        <w:t>; в</w:t>
      </w:r>
      <w:r w:rsidRPr="00DC4F1B">
        <w:rPr>
          <w:rFonts w:ascii="Verdana" w:hAnsi="Verdana"/>
        </w:rPr>
        <w:t>иды разрешенного использования:</w:t>
      </w:r>
      <w:r>
        <w:rPr>
          <w:rFonts w:ascii="Verdana" w:hAnsi="Verdana"/>
        </w:rPr>
        <w:t xml:space="preserve"> для производственной территории,</w:t>
      </w:r>
      <w:r w:rsidRPr="00DC4F1B">
        <w:rPr>
          <w:rFonts w:ascii="Verdana" w:hAnsi="Verdana"/>
        </w:rPr>
        <w:t xml:space="preserve"> </w:t>
      </w:r>
      <w:r>
        <w:rPr>
          <w:rFonts w:ascii="Verdana" w:hAnsi="Verdana" w:cs="Arial"/>
        </w:rPr>
        <w:t xml:space="preserve">находящегося по адресу: </w:t>
      </w:r>
      <w:r w:rsidRPr="00DC4F1B">
        <w:rPr>
          <w:rFonts w:ascii="Verdana" w:hAnsi="Verdana"/>
        </w:rPr>
        <w:t>установлено относительно ориентира, расположенного в границах участка. Почтовый адрес ориентира:</w:t>
      </w:r>
      <w:r>
        <w:rPr>
          <w:rFonts w:ascii="Verdana" w:hAnsi="Verdana"/>
        </w:rPr>
        <w:t xml:space="preserve"> Красноярский край, г. Канск, ул. Шабалина, №40/1. КН: </w:t>
      </w:r>
      <w:r w:rsidRPr="000B11DF">
        <w:rPr>
          <w:rFonts w:ascii="Verdana" w:hAnsi="Verdana" w:cstheme="minorBidi"/>
          <w:color w:val="000000" w:themeColor="text1"/>
        </w:rPr>
        <w:t>24:51:0204153:46</w:t>
      </w:r>
      <w:r w:rsidR="009D7E88">
        <w:rPr>
          <w:rFonts w:ascii="Verdana" w:hAnsi="Verdana" w:cstheme="minorBidi"/>
          <w:color w:val="000000" w:themeColor="text1"/>
        </w:rPr>
        <w:t xml:space="preserve"> (</w:t>
      </w:r>
      <w:r w:rsidR="009D7E88">
        <w:rPr>
          <w:rFonts w:ascii="Verdana" w:hAnsi="Verdana"/>
          <w:color w:val="000000" w:themeColor="text1"/>
        </w:rPr>
        <w:t>Договор</w:t>
      </w:r>
      <w:r w:rsidR="009D7E88" w:rsidRPr="009947E6">
        <w:rPr>
          <w:rFonts w:ascii="Verdana" w:hAnsi="Verdana"/>
          <w:color w:val="000000" w:themeColor="text1"/>
        </w:rPr>
        <w:t xml:space="preserve"> аренды земельного участка №</w:t>
      </w:r>
      <w:r w:rsidR="009D7E88">
        <w:rPr>
          <w:rFonts w:ascii="Verdana" w:hAnsi="Verdana"/>
          <w:color w:val="000000" w:themeColor="text1"/>
        </w:rPr>
        <w:t xml:space="preserve"> АЗ-263-12</w:t>
      </w:r>
      <w:r w:rsidR="009D7E88" w:rsidRPr="009947E6">
        <w:rPr>
          <w:rFonts w:ascii="Verdana" w:hAnsi="Verdana"/>
          <w:color w:val="000000" w:themeColor="text1"/>
        </w:rPr>
        <w:t xml:space="preserve"> от</w:t>
      </w:r>
      <w:r w:rsidR="009D7E88">
        <w:rPr>
          <w:rFonts w:ascii="Verdana" w:hAnsi="Verdana"/>
          <w:color w:val="000000" w:themeColor="text1"/>
        </w:rPr>
        <w:t xml:space="preserve"> 03 декабря 2012</w:t>
      </w:r>
      <w:r w:rsidR="009D7E88" w:rsidRPr="009947E6">
        <w:rPr>
          <w:rFonts w:ascii="Verdana" w:hAnsi="Verdana"/>
          <w:color w:val="000000" w:themeColor="text1"/>
        </w:rPr>
        <w:t xml:space="preserve"> года</w:t>
      </w:r>
      <w:r w:rsidR="009D7E88">
        <w:rPr>
          <w:rFonts w:ascii="Verdana" w:hAnsi="Verdana"/>
          <w:color w:val="000000" w:themeColor="text1"/>
        </w:rPr>
        <w:t>)</w:t>
      </w:r>
      <w:r>
        <w:rPr>
          <w:rFonts w:ascii="Verdana" w:hAnsi="Verdana" w:cstheme="minorBidi"/>
          <w:color w:val="000000" w:themeColor="text1"/>
        </w:rPr>
        <w:t>.</w:t>
      </w:r>
      <w:r w:rsidRPr="000B11DF">
        <w:rPr>
          <w:rFonts w:ascii="Verdana" w:hAnsi="Verdana" w:cstheme="minorBidi"/>
          <w:color w:val="000000" w:themeColor="text1"/>
        </w:rPr>
        <w:t xml:space="preserve"> </w:t>
      </w:r>
    </w:p>
    <w:p w14:paraId="46BB30BD" w14:textId="77777777" w:rsidR="0063393C" w:rsidRPr="000B11DF" w:rsidRDefault="0063393C" w:rsidP="0063393C">
      <w:pPr>
        <w:pStyle w:val="a5"/>
        <w:ind w:left="0"/>
        <w:jc w:val="both"/>
        <w:rPr>
          <w:rFonts w:ascii="Verdana" w:hAnsi="Verdana" w:cs="Arial"/>
          <w:sz w:val="6"/>
          <w:szCs w:val="6"/>
        </w:rPr>
      </w:pPr>
    </w:p>
    <w:p w14:paraId="6E61C9F6" w14:textId="77777777" w:rsidR="00E214EB" w:rsidRPr="000B11DF" w:rsidRDefault="00E214EB" w:rsidP="000B11DF">
      <w:pPr>
        <w:pStyle w:val="a5"/>
        <w:rPr>
          <w:rFonts w:ascii="Verdana" w:hAnsi="Verdana"/>
          <w:sz w:val="6"/>
          <w:szCs w:val="6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3435B" w:rsidRPr="000B11DF" w14:paraId="4FB99D4B" w14:textId="77777777" w:rsidTr="00011811">
        <w:trPr>
          <w:trHeight w:val="1276"/>
        </w:trPr>
        <w:tc>
          <w:tcPr>
            <w:tcW w:w="9639" w:type="dxa"/>
          </w:tcPr>
          <w:p w14:paraId="6BE3518E" w14:textId="0A500A71" w:rsidR="00453FF7" w:rsidRPr="000B11DF" w:rsidRDefault="000D2DC3" w:rsidP="000B11DF">
            <w:pPr>
              <w:pStyle w:val="a5"/>
              <w:tabs>
                <w:tab w:val="left" w:pos="348"/>
                <w:tab w:val="left" w:pos="885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 w:rsidRPr="000B11DF">
              <w:rPr>
                <w:rFonts w:ascii="Verdana" w:hAnsi="Verdana"/>
                <w:color w:val="000000" w:themeColor="text1"/>
              </w:rPr>
              <w:t>1.</w:t>
            </w:r>
            <w:r w:rsidR="00044040">
              <w:rPr>
                <w:rFonts w:ascii="Verdana" w:hAnsi="Verdana"/>
                <w:color w:val="000000" w:themeColor="text1"/>
              </w:rPr>
              <w:t>2</w:t>
            </w:r>
            <w:r w:rsidRPr="000B11DF">
              <w:rPr>
                <w:rFonts w:ascii="Verdana" w:hAnsi="Verdana"/>
                <w:color w:val="000000" w:themeColor="text1"/>
              </w:rPr>
              <w:t>.1.</w:t>
            </w:r>
            <w:r w:rsidR="004F283F">
              <w:rPr>
                <w:rFonts w:ascii="Verdana" w:hAnsi="Verdana"/>
                <w:color w:val="000000" w:themeColor="text1"/>
              </w:rPr>
              <w:t xml:space="preserve"> </w:t>
            </w:r>
            <w:r w:rsidR="004F283F" w:rsidRPr="00FF7586">
              <w:rPr>
                <w:rFonts w:ascii="Verdana" w:hAnsi="Verdana"/>
                <w:color w:val="000000" w:themeColor="text1"/>
              </w:rPr>
              <w:t>Нежилое здание</w:t>
            </w:r>
            <w:r w:rsidR="004F283F">
              <w:rPr>
                <w:rFonts w:ascii="Verdana" w:hAnsi="Verdana"/>
                <w:color w:val="000000" w:themeColor="text1"/>
              </w:rPr>
              <w:t xml:space="preserve"> конторы</w:t>
            </w:r>
            <w:r w:rsidR="004F283F" w:rsidRPr="000B11DF" w:rsidDel="004F283F">
              <w:rPr>
                <w:rFonts w:ascii="Verdana" w:hAnsi="Verdana"/>
                <w:color w:val="000000" w:themeColor="text1"/>
              </w:rPr>
              <w:t xml:space="preserve"> </w:t>
            </w:r>
            <w:r w:rsidRPr="000B11DF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="004F283F" w:rsidRPr="004F283F">
              <w:rPr>
                <w:rFonts w:ascii="Verdana" w:hAnsi="Verdana"/>
                <w:color w:val="000000" w:themeColor="text1"/>
              </w:rPr>
              <w:t>24:51:0000000:4452</w:t>
            </w:r>
            <w:r w:rsidR="004F283F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0B11DF">
              <w:rPr>
                <w:rFonts w:ascii="Verdana" w:hAnsi="Verdana"/>
                <w:color w:val="000000" w:themeColor="text1"/>
              </w:rPr>
              <w:t>принадлежит Продавцу на праве собственности, о чем в Едином государственном реестре недвижимости сделана запись о государственной регистрации права</w:t>
            </w:r>
            <w:r w:rsidR="00005863" w:rsidRPr="000B11DF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№ </w:t>
            </w:r>
            <w:r w:rsidR="004F283F">
              <w:rPr>
                <w:rFonts w:ascii="Verdana" w:hAnsi="Verdana"/>
                <w:color w:val="000000" w:themeColor="text1"/>
              </w:rPr>
              <w:t>24:51:0000000:4452-24/108/2020-8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 от </w:t>
            </w:r>
            <w:r w:rsidR="004F283F">
              <w:rPr>
                <w:rFonts w:ascii="Verdana" w:hAnsi="Verdana"/>
                <w:color w:val="000000" w:themeColor="text1"/>
              </w:rPr>
              <w:t>09</w:t>
            </w:r>
            <w:r w:rsidR="00D3435B" w:rsidRPr="000B11DF">
              <w:rPr>
                <w:rFonts w:ascii="Verdana" w:hAnsi="Verdana"/>
                <w:color w:val="000000" w:themeColor="text1"/>
              </w:rPr>
              <w:t>.</w:t>
            </w:r>
            <w:r w:rsidR="004F283F">
              <w:rPr>
                <w:rFonts w:ascii="Verdana" w:hAnsi="Verdana"/>
                <w:color w:val="000000" w:themeColor="text1"/>
              </w:rPr>
              <w:t>12</w:t>
            </w:r>
            <w:r w:rsidR="00D3435B" w:rsidRPr="000B11DF">
              <w:rPr>
                <w:rFonts w:ascii="Verdana" w:hAnsi="Verdana"/>
                <w:color w:val="000000" w:themeColor="text1"/>
              </w:rPr>
              <w:t>.20</w:t>
            </w:r>
            <w:r w:rsidR="004F283F">
              <w:rPr>
                <w:rFonts w:ascii="Verdana" w:hAnsi="Verdana"/>
                <w:color w:val="000000" w:themeColor="text1"/>
              </w:rPr>
              <w:t>20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 w:rsidR="004F283F">
              <w:rPr>
                <w:rFonts w:ascii="Verdana" w:hAnsi="Verdana"/>
                <w:color w:val="000000" w:themeColor="text1"/>
              </w:rPr>
              <w:t>10</w:t>
            </w:r>
            <w:r w:rsidR="00D3435B" w:rsidRPr="000B11DF">
              <w:rPr>
                <w:rFonts w:ascii="Verdana" w:hAnsi="Verdana"/>
                <w:color w:val="000000" w:themeColor="text1"/>
              </w:rPr>
              <w:t>.</w:t>
            </w:r>
            <w:r w:rsidR="004F283F">
              <w:rPr>
                <w:rFonts w:ascii="Verdana" w:hAnsi="Verdana"/>
                <w:color w:val="000000" w:themeColor="text1"/>
              </w:rPr>
              <w:t>12</w:t>
            </w:r>
            <w:r w:rsidR="00D3435B" w:rsidRPr="000B11DF">
              <w:rPr>
                <w:rFonts w:ascii="Verdana" w:hAnsi="Verdana"/>
                <w:color w:val="000000" w:themeColor="text1"/>
              </w:rPr>
              <w:t>.2020</w:t>
            </w:r>
            <w:r w:rsidR="00453FF7" w:rsidRPr="000B11DF">
              <w:rPr>
                <w:rFonts w:ascii="Verdana" w:hAnsi="Verdana"/>
                <w:color w:val="000000" w:themeColor="text1"/>
              </w:rPr>
              <w:t xml:space="preserve"> г.</w:t>
            </w:r>
            <w:r w:rsidR="00D3435B" w:rsidRPr="000B11DF">
              <w:rPr>
                <w:rFonts w:ascii="Verdana" w:hAnsi="Verdana"/>
                <w:color w:val="000000" w:themeColor="text1"/>
              </w:rPr>
              <w:t>;</w:t>
            </w:r>
          </w:p>
          <w:p w14:paraId="435D3A7B" w14:textId="3BAD352B" w:rsidR="00396B39" w:rsidRPr="000B11DF" w:rsidRDefault="00453FF7" w:rsidP="000B11DF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 w:rsidRPr="000B11DF">
              <w:rPr>
                <w:rFonts w:ascii="Verdana" w:hAnsi="Verdana"/>
                <w:color w:val="000000" w:themeColor="text1"/>
              </w:rPr>
              <w:t>1.</w:t>
            </w:r>
            <w:r w:rsidR="00044040">
              <w:rPr>
                <w:rFonts w:ascii="Verdana" w:hAnsi="Verdana"/>
                <w:color w:val="000000" w:themeColor="text1"/>
              </w:rPr>
              <w:t>2</w:t>
            </w:r>
            <w:r w:rsidRPr="000B11DF">
              <w:rPr>
                <w:rFonts w:ascii="Verdana" w:hAnsi="Verdana"/>
                <w:color w:val="000000" w:themeColor="text1"/>
              </w:rPr>
              <w:t xml:space="preserve">.2. </w:t>
            </w:r>
            <w:r w:rsidR="004F283F" w:rsidRPr="00FF7586">
              <w:rPr>
                <w:rFonts w:ascii="Verdana" w:hAnsi="Verdana"/>
                <w:color w:val="000000" w:themeColor="text1"/>
              </w:rPr>
              <w:t>Нежилое здание</w:t>
            </w:r>
            <w:r w:rsidR="004F283F">
              <w:rPr>
                <w:rFonts w:ascii="Verdana" w:hAnsi="Verdana"/>
                <w:color w:val="000000" w:themeColor="text1"/>
              </w:rPr>
              <w:t xml:space="preserve"> котельной</w:t>
            </w:r>
            <w:r w:rsidR="004F283F" w:rsidRPr="000B11DF" w:rsidDel="004F283F">
              <w:rPr>
                <w:rFonts w:ascii="Verdana" w:hAnsi="Verdana"/>
                <w:color w:val="000000" w:themeColor="text1"/>
              </w:rPr>
              <w:t xml:space="preserve"> </w:t>
            </w:r>
            <w:r w:rsidRPr="000B11DF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="004F283F" w:rsidRPr="004F283F">
              <w:rPr>
                <w:rFonts w:ascii="Verdana" w:hAnsi="Verdana"/>
                <w:color w:val="000000" w:themeColor="text1"/>
              </w:rPr>
              <w:t>24:51:0000000:4454</w:t>
            </w:r>
            <w:r w:rsidR="004F283F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5A7263" w:rsidRPr="005A7263">
              <w:rPr>
                <w:rFonts w:ascii="Verdana" w:hAnsi="Verdana"/>
                <w:color w:val="000000" w:themeColor="text1"/>
              </w:rPr>
              <w:t>24:51:0000000:445</w:t>
            </w:r>
            <w:r w:rsidR="005A7263">
              <w:rPr>
                <w:rFonts w:ascii="Verdana" w:hAnsi="Verdana"/>
                <w:color w:val="000000" w:themeColor="text1"/>
              </w:rPr>
              <w:t>4</w:t>
            </w:r>
            <w:r w:rsidR="005A7263" w:rsidRPr="005A7263">
              <w:rPr>
                <w:rFonts w:ascii="Verdana" w:hAnsi="Verdana"/>
                <w:color w:val="000000" w:themeColor="text1"/>
              </w:rPr>
              <w:t xml:space="preserve">-24/108/2020-8 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от </w:t>
            </w:r>
            <w:r w:rsidR="005A7263">
              <w:rPr>
                <w:rFonts w:ascii="Verdana" w:hAnsi="Verdana"/>
                <w:color w:val="000000" w:themeColor="text1"/>
              </w:rPr>
              <w:t>0</w:t>
            </w:r>
            <w:r w:rsidR="00D3435B" w:rsidRPr="000B11DF">
              <w:rPr>
                <w:rFonts w:ascii="Verdana" w:hAnsi="Verdana"/>
                <w:color w:val="000000" w:themeColor="text1"/>
              </w:rPr>
              <w:t>9.</w:t>
            </w:r>
            <w:r w:rsidR="005A7263">
              <w:rPr>
                <w:rFonts w:ascii="Verdana" w:hAnsi="Verdana"/>
                <w:color w:val="000000" w:themeColor="text1"/>
              </w:rPr>
              <w:t>12</w:t>
            </w:r>
            <w:r w:rsidR="00D3435B" w:rsidRPr="000B11DF">
              <w:rPr>
                <w:rFonts w:ascii="Verdana" w:hAnsi="Verdana"/>
                <w:color w:val="000000" w:themeColor="text1"/>
              </w:rPr>
              <w:t>.20</w:t>
            </w:r>
            <w:r w:rsidR="005A7263">
              <w:rPr>
                <w:rFonts w:ascii="Verdana" w:hAnsi="Verdana"/>
                <w:color w:val="000000" w:themeColor="text1"/>
              </w:rPr>
              <w:t>20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 w:rsidR="005A7263">
              <w:rPr>
                <w:rFonts w:ascii="Verdana" w:hAnsi="Verdana"/>
                <w:color w:val="000000" w:themeColor="text1"/>
              </w:rPr>
              <w:t>10</w:t>
            </w:r>
            <w:r w:rsidR="00D3435B" w:rsidRPr="000B11DF">
              <w:rPr>
                <w:rFonts w:ascii="Verdana" w:hAnsi="Verdana"/>
                <w:color w:val="000000" w:themeColor="text1"/>
              </w:rPr>
              <w:t>.</w:t>
            </w:r>
            <w:r w:rsidR="005A7263">
              <w:rPr>
                <w:rFonts w:ascii="Verdana" w:hAnsi="Verdana"/>
                <w:color w:val="000000" w:themeColor="text1"/>
              </w:rPr>
              <w:t>12</w:t>
            </w:r>
            <w:r w:rsidR="00D3435B" w:rsidRPr="000B11DF">
              <w:rPr>
                <w:rFonts w:ascii="Verdana" w:hAnsi="Verdana"/>
                <w:color w:val="000000" w:themeColor="text1"/>
              </w:rPr>
              <w:t>.2020</w:t>
            </w:r>
            <w:r w:rsidRPr="000B11DF">
              <w:rPr>
                <w:rFonts w:ascii="Verdana" w:hAnsi="Verdana"/>
                <w:color w:val="000000" w:themeColor="text1"/>
              </w:rPr>
              <w:t xml:space="preserve"> г.</w:t>
            </w:r>
            <w:r w:rsidR="00D3435B" w:rsidRPr="000B11DF">
              <w:rPr>
                <w:rFonts w:ascii="Verdana" w:hAnsi="Verdana"/>
                <w:color w:val="000000" w:themeColor="text1"/>
              </w:rPr>
              <w:t>;</w:t>
            </w:r>
          </w:p>
          <w:p w14:paraId="1FD2391C" w14:textId="7EDD7B39" w:rsidR="00D1038C" w:rsidRPr="000B11DF" w:rsidRDefault="00396B39" w:rsidP="000B11DF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 w:rsidRPr="000B11DF">
              <w:rPr>
                <w:rFonts w:ascii="Verdana" w:hAnsi="Verdana"/>
                <w:color w:val="000000" w:themeColor="text1"/>
              </w:rPr>
              <w:t>1.</w:t>
            </w:r>
            <w:r w:rsidR="00044040">
              <w:rPr>
                <w:rFonts w:ascii="Verdana" w:hAnsi="Verdana"/>
                <w:color w:val="000000" w:themeColor="text1"/>
              </w:rPr>
              <w:t>2</w:t>
            </w:r>
            <w:r w:rsidRPr="000B11DF">
              <w:rPr>
                <w:rFonts w:ascii="Verdana" w:hAnsi="Verdana"/>
                <w:color w:val="000000" w:themeColor="text1"/>
              </w:rPr>
              <w:t>.3.</w:t>
            </w:r>
            <w:r w:rsidR="00765721" w:rsidRPr="00765721">
              <w:rPr>
                <w:rFonts w:ascii="Verdana" w:hAnsi="Verdana"/>
                <w:color w:val="000000" w:themeColor="text1"/>
              </w:rPr>
              <w:tab/>
              <w:t>Нежилое здание электроцеха</w:t>
            </w:r>
            <w:r w:rsidR="00765721" w:rsidRPr="000B11DF" w:rsidDel="00765721">
              <w:rPr>
                <w:rFonts w:ascii="Verdana" w:hAnsi="Verdana"/>
                <w:color w:val="000000" w:themeColor="text1"/>
              </w:rPr>
              <w:t xml:space="preserve"> </w:t>
            </w:r>
            <w:r w:rsidR="00453FF7" w:rsidRPr="000B11DF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="00765721" w:rsidRPr="00765721">
              <w:rPr>
                <w:rFonts w:ascii="Verdana" w:hAnsi="Verdana"/>
                <w:color w:val="000000" w:themeColor="text1"/>
              </w:rPr>
              <w:t>24:51:0000000:4455</w:t>
            </w:r>
            <w:r w:rsidR="00765721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635048" w:rsidRPr="005A7263">
              <w:rPr>
                <w:rFonts w:ascii="Verdana" w:hAnsi="Verdana"/>
                <w:color w:val="000000" w:themeColor="text1"/>
              </w:rPr>
              <w:t>24:51:0000000:445</w:t>
            </w:r>
            <w:r w:rsidR="00635048">
              <w:rPr>
                <w:rFonts w:ascii="Verdana" w:hAnsi="Verdana"/>
                <w:color w:val="000000" w:themeColor="text1"/>
              </w:rPr>
              <w:t>5</w:t>
            </w:r>
            <w:r w:rsidR="00635048" w:rsidRPr="005A7263">
              <w:rPr>
                <w:rFonts w:ascii="Verdana" w:hAnsi="Verdana"/>
                <w:color w:val="000000" w:themeColor="text1"/>
              </w:rPr>
              <w:t xml:space="preserve">-24/108/2020-8 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от </w:t>
            </w:r>
            <w:r w:rsidR="00635048">
              <w:rPr>
                <w:rFonts w:ascii="Verdana" w:hAnsi="Verdana"/>
                <w:color w:val="000000" w:themeColor="text1"/>
              </w:rPr>
              <w:t>0</w:t>
            </w:r>
            <w:r w:rsidRPr="000B11DF">
              <w:rPr>
                <w:rFonts w:ascii="Verdana" w:hAnsi="Verdana"/>
                <w:color w:val="000000" w:themeColor="text1"/>
              </w:rPr>
              <w:t>9</w:t>
            </w:r>
            <w:r w:rsidR="00D3435B" w:rsidRPr="000B11DF">
              <w:rPr>
                <w:rFonts w:ascii="Verdana" w:hAnsi="Verdana"/>
                <w:color w:val="000000" w:themeColor="text1"/>
              </w:rPr>
              <w:t>.</w:t>
            </w:r>
            <w:r w:rsidR="00635048">
              <w:rPr>
                <w:rFonts w:ascii="Verdana" w:hAnsi="Verdana"/>
                <w:color w:val="000000" w:themeColor="text1"/>
              </w:rPr>
              <w:t>12</w:t>
            </w:r>
            <w:r w:rsidR="00D3435B" w:rsidRPr="000B11DF">
              <w:rPr>
                <w:rFonts w:ascii="Verdana" w:hAnsi="Verdana"/>
                <w:color w:val="000000" w:themeColor="text1"/>
              </w:rPr>
              <w:t>.20</w:t>
            </w:r>
            <w:r w:rsidR="00635048">
              <w:rPr>
                <w:rFonts w:ascii="Verdana" w:hAnsi="Verdana"/>
                <w:color w:val="000000" w:themeColor="text1"/>
              </w:rPr>
              <w:t>20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 w:rsidR="00635048">
              <w:rPr>
                <w:rFonts w:ascii="Verdana" w:hAnsi="Verdana"/>
                <w:color w:val="000000" w:themeColor="text1"/>
              </w:rPr>
              <w:t>10</w:t>
            </w:r>
            <w:r w:rsidR="00D3435B" w:rsidRPr="000B11DF">
              <w:rPr>
                <w:rFonts w:ascii="Verdana" w:hAnsi="Verdana"/>
                <w:color w:val="000000" w:themeColor="text1"/>
              </w:rPr>
              <w:t>.</w:t>
            </w:r>
            <w:r w:rsidRPr="000B11DF">
              <w:rPr>
                <w:rFonts w:ascii="Verdana" w:hAnsi="Verdana"/>
                <w:color w:val="000000" w:themeColor="text1"/>
              </w:rPr>
              <w:t>1</w:t>
            </w:r>
            <w:r w:rsidR="00635048">
              <w:rPr>
                <w:rFonts w:ascii="Verdana" w:hAnsi="Verdana"/>
                <w:color w:val="000000" w:themeColor="text1"/>
              </w:rPr>
              <w:t>2</w:t>
            </w:r>
            <w:r w:rsidR="00D3435B" w:rsidRPr="000B11DF">
              <w:rPr>
                <w:rFonts w:ascii="Verdana" w:hAnsi="Verdana"/>
                <w:color w:val="000000" w:themeColor="text1"/>
              </w:rPr>
              <w:t>.2020</w:t>
            </w:r>
            <w:r w:rsidR="00005863" w:rsidRPr="000B11DF">
              <w:rPr>
                <w:rFonts w:ascii="Verdana" w:hAnsi="Verdana"/>
                <w:color w:val="000000" w:themeColor="text1"/>
              </w:rPr>
              <w:t xml:space="preserve"> г.</w:t>
            </w:r>
            <w:r w:rsidR="00D3435B" w:rsidRPr="000B11DF">
              <w:rPr>
                <w:rFonts w:ascii="Verdana" w:hAnsi="Verdana"/>
                <w:color w:val="000000" w:themeColor="text1"/>
              </w:rPr>
              <w:t>;</w:t>
            </w:r>
          </w:p>
          <w:p w14:paraId="54571A28" w14:textId="11CD3A4A" w:rsidR="00635048" w:rsidRDefault="00635048" w:rsidP="000B11DF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</w:t>
            </w:r>
            <w:r w:rsidR="00044040">
              <w:rPr>
                <w:rFonts w:ascii="Verdana" w:hAnsi="Verdana"/>
                <w:color w:val="000000" w:themeColor="text1"/>
              </w:rPr>
              <w:t>2</w:t>
            </w:r>
            <w:r>
              <w:rPr>
                <w:rFonts w:ascii="Verdana" w:hAnsi="Verdana"/>
                <w:color w:val="000000" w:themeColor="text1"/>
              </w:rPr>
              <w:t xml:space="preserve">.4. </w:t>
            </w:r>
            <w:r w:rsidRPr="00635048">
              <w:rPr>
                <w:rFonts w:ascii="Verdana" w:hAnsi="Verdana"/>
                <w:color w:val="000000" w:themeColor="text1"/>
              </w:rPr>
              <w:t xml:space="preserve">Нежилое здание конторы </w:t>
            </w:r>
            <w:r w:rsidRPr="00403E9A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Pr="00635048">
              <w:rPr>
                <w:rFonts w:ascii="Verdana" w:hAnsi="Verdana"/>
                <w:color w:val="000000" w:themeColor="text1"/>
              </w:rPr>
              <w:t>24:51:0000000:4456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Pr="005A7263">
              <w:rPr>
                <w:rFonts w:ascii="Verdana" w:hAnsi="Verdana"/>
                <w:color w:val="000000" w:themeColor="text1"/>
              </w:rPr>
              <w:t>24:51:0000000:445</w:t>
            </w:r>
            <w:r>
              <w:rPr>
                <w:rFonts w:ascii="Verdana" w:hAnsi="Verdana"/>
                <w:color w:val="000000" w:themeColor="text1"/>
              </w:rPr>
              <w:t>6</w:t>
            </w:r>
            <w:r w:rsidRPr="005A7263">
              <w:rPr>
                <w:rFonts w:ascii="Verdana" w:hAnsi="Verdana"/>
                <w:color w:val="000000" w:themeColor="text1"/>
              </w:rPr>
              <w:t xml:space="preserve">-24/108/2020-8 </w:t>
            </w:r>
            <w:r w:rsidRPr="00403E9A">
              <w:rPr>
                <w:rFonts w:ascii="Verdana" w:hAnsi="Verdana"/>
                <w:color w:val="000000" w:themeColor="text1"/>
              </w:rPr>
              <w:t xml:space="preserve">от </w:t>
            </w:r>
            <w:r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9.</w:t>
            </w:r>
            <w:r>
              <w:rPr>
                <w:rFonts w:ascii="Verdana" w:hAnsi="Verdana"/>
                <w:color w:val="000000" w:themeColor="text1"/>
              </w:rPr>
              <w:t>12</w:t>
            </w:r>
            <w:r w:rsidRPr="00403E9A">
              <w:rPr>
                <w:rFonts w:ascii="Verdana" w:hAnsi="Verdana"/>
                <w:color w:val="000000" w:themeColor="text1"/>
              </w:rPr>
              <w:t>.20</w:t>
            </w:r>
            <w:r>
              <w:rPr>
                <w:rFonts w:ascii="Verdana" w:hAnsi="Verdana"/>
                <w:color w:val="000000" w:themeColor="text1"/>
              </w:rPr>
              <w:t>20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>
              <w:rPr>
                <w:rFonts w:ascii="Verdana" w:hAnsi="Verdana"/>
                <w:color w:val="000000" w:themeColor="text1"/>
              </w:rPr>
              <w:t>10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>
              <w:rPr>
                <w:rFonts w:ascii="Verdana" w:hAnsi="Verdana"/>
                <w:color w:val="000000" w:themeColor="text1"/>
              </w:rPr>
              <w:t>2</w:t>
            </w:r>
            <w:r w:rsidRPr="00403E9A">
              <w:rPr>
                <w:rFonts w:ascii="Verdana" w:hAnsi="Verdana"/>
                <w:color w:val="000000" w:themeColor="text1"/>
              </w:rPr>
              <w:t>.2020 г.;</w:t>
            </w:r>
          </w:p>
          <w:p w14:paraId="03AA3B3B" w14:textId="0941D0AC" w:rsidR="00B87B84" w:rsidRDefault="00635048" w:rsidP="000B11DF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</w:t>
            </w:r>
            <w:r w:rsidR="00044040">
              <w:rPr>
                <w:rFonts w:ascii="Verdana" w:hAnsi="Verdana"/>
                <w:color w:val="000000" w:themeColor="text1"/>
              </w:rPr>
              <w:t>2</w:t>
            </w:r>
            <w:r>
              <w:rPr>
                <w:rFonts w:ascii="Verdana" w:hAnsi="Verdana"/>
                <w:color w:val="000000" w:themeColor="text1"/>
              </w:rPr>
              <w:t xml:space="preserve">.5. </w:t>
            </w:r>
            <w:r w:rsidRPr="00765721">
              <w:rPr>
                <w:rFonts w:ascii="Verdana" w:hAnsi="Verdana"/>
                <w:color w:val="000000" w:themeColor="text1"/>
              </w:rPr>
              <w:t xml:space="preserve">Нежилое здание </w:t>
            </w:r>
            <w:r>
              <w:rPr>
                <w:rFonts w:ascii="Verdana" w:hAnsi="Verdana"/>
                <w:color w:val="000000" w:themeColor="text1"/>
              </w:rPr>
              <w:t>проходной</w:t>
            </w:r>
            <w:r w:rsidRPr="00403E9A" w:rsidDel="00765721"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Pr="00635048">
              <w:rPr>
                <w:rFonts w:ascii="Verdana" w:hAnsi="Verdana"/>
                <w:color w:val="000000" w:themeColor="text1"/>
              </w:rPr>
              <w:t>24:51:0000000:4457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Pr="005A7263">
              <w:rPr>
                <w:rFonts w:ascii="Verdana" w:hAnsi="Verdana"/>
                <w:color w:val="000000" w:themeColor="text1"/>
              </w:rPr>
              <w:t>24:51:0000000:445</w:t>
            </w:r>
            <w:r>
              <w:rPr>
                <w:rFonts w:ascii="Verdana" w:hAnsi="Verdana"/>
                <w:color w:val="000000" w:themeColor="text1"/>
              </w:rPr>
              <w:t>7</w:t>
            </w:r>
            <w:r w:rsidRPr="005A7263">
              <w:rPr>
                <w:rFonts w:ascii="Verdana" w:hAnsi="Verdana"/>
                <w:color w:val="000000" w:themeColor="text1"/>
              </w:rPr>
              <w:t xml:space="preserve">-24/108/2020-8 </w:t>
            </w:r>
            <w:r w:rsidRPr="00403E9A">
              <w:rPr>
                <w:rFonts w:ascii="Verdana" w:hAnsi="Verdana"/>
                <w:color w:val="000000" w:themeColor="text1"/>
              </w:rPr>
              <w:t xml:space="preserve">от </w:t>
            </w:r>
            <w:r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9.</w:t>
            </w:r>
            <w:r>
              <w:rPr>
                <w:rFonts w:ascii="Verdana" w:hAnsi="Verdana"/>
                <w:color w:val="000000" w:themeColor="text1"/>
              </w:rPr>
              <w:t>12</w:t>
            </w:r>
            <w:r w:rsidRPr="00403E9A">
              <w:rPr>
                <w:rFonts w:ascii="Verdana" w:hAnsi="Verdana"/>
                <w:color w:val="000000" w:themeColor="text1"/>
              </w:rPr>
              <w:t>.20</w:t>
            </w:r>
            <w:r>
              <w:rPr>
                <w:rFonts w:ascii="Verdana" w:hAnsi="Verdana"/>
                <w:color w:val="000000" w:themeColor="text1"/>
              </w:rPr>
              <w:t>20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>
              <w:rPr>
                <w:rFonts w:ascii="Verdana" w:hAnsi="Verdana"/>
                <w:color w:val="000000" w:themeColor="text1"/>
              </w:rPr>
              <w:t>10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>
              <w:rPr>
                <w:rFonts w:ascii="Verdana" w:hAnsi="Verdana"/>
                <w:color w:val="000000" w:themeColor="text1"/>
              </w:rPr>
              <w:t>2</w:t>
            </w:r>
            <w:r w:rsidRPr="00403E9A">
              <w:rPr>
                <w:rFonts w:ascii="Verdana" w:hAnsi="Verdana"/>
                <w:color w:val="000000" w:themeColor="text1"/>
              </w:rPr>
              <w:t>.2020 г.;</w:t>
            </w:r>
          </w:p>
          <w:p w14:paraId="6522AB05" w14:textId="3CEF1B45" w:rsidR="00635048" w:rsidRDefault="00635048" w:rsidP="000B11DF">
            <w:pPr>
              <w:pStyle w:val="a5"/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</w:t>
            </w:r>
            <w:r w:rsidR="00044040">
              <w:rPr>
                <w:rFonts w:ascii="Verdana" w:hAnsi="Verdana"/>
                <w:color w:val="000000" w:themeColor="text1"/>
              </w:rPr>
              <w:t>2</w:t>
            </w:r>
            <w:r>
              <w:rPr>
                <w:rFonts w:ascii="Verdana" w:hAnsi="Verdana"/>
                <w:color w:val="000000" w:themeColor="text1"/>
              </w:rPr>
              <w:t>.6.</w:t>
            </w:r>
            <w:r w:rsidR="00E214EB">
              <w:rPr>
                <w:rFonts w:ascii="Verdana" w:hAnsi="Verdana"/>
                <w:color w:val="000000" w:themeColor="text1"/>
              </w:rPr>
              <w:t xml:space="preserve">  </w:t>
            </w:r>
            <w:r w:rsidRPr="00765721">
              <w:rPr>
                <w:rFonts w:ascii="Verdana" w:hAnsi="Verdana"/>
                <w:color w:val="000000" w:themeColor="text1"/>
              </w:rPr>
              <w:t xml:space="preserve">Нежилое здание </w:t>
            </w:r>
            <w:r w:rsidR="00E214EB">
              <w:rPr>
                <w:rFonts w:ascii="Verdana" w:hAnsi="Verdana"/>
                <w:color w:val="000000" w:themeColor="text1"/>
              </w:rPr>
              <w:t>склада</w:t>
            </w:r>
            <w:r w:rsidRPr="00403E9A" w:rsidDel="00765721"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="00E214EB" w:rsidRPr="00E214EB">
              <w:rPr>
                <w:rFonts w:ascii="Verdana" w:hAnsi="Verdana"/>
                <w:color w:val="000000" w:themeColor="text1"/>
              </w:rPr>
              <w:t>24:51:0000000:4458</w:t>
            </w:r>
            <w:r w:rsidR="00E214EB"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Pr="005A7263">
              <w:rPr>
                <w:rFonts w:ascii="Verdana" w:hAnsi="Verdana"/>
                <w:color w:val="000000" w:themeColor="text1"/>
              </w:rPr>
              <w:t>24:51:0000000:445</w:t>
            </w:r>
            <w:r w:rsidR="00E214EB">
              <w:rPr>
                <w:rFonts w:ascii="Verdana" w:hAnsi="Verdana"/>
                <w:color w:val="000000" w:themeColor="text1"/>
              </w:rPr>
              <w:t>8</w:t>
            </w:r>
            <w:r w:rsidRPr="005A7263">
              <w:rPr>
                <w:rFonts w:ascii="Verdana" w:hAnsi="Verdana"/>
                <w:color w:val="000000" w:themeColor="text1"/>
              </w:rPr>
              <w:t>-24/108/2020-</w:t>
            </w:r>
            <w:r w:rsidR="00E214EB">
              <w:rPr>
                <w:rFonts w:ascii="Verdana" w:hAnsi="Verdana"/>
                <w:color w:val="000000" w:themeColor="text1"/>
              </w:rPr>
              <w:t>7</w:t>
            </w:r>
            <w:r w:rsidRPr="005A7263"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от </w:t>
            </w:r>
            <w:r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9.</w:t>
            </w:r>
            <w:r>
              <w:rPr>
                <w:rFonts w:ascii="Verdana" w:hAnsi="Verdana"/>
                <w:color w:val="000000" w:themeColor="text1"/>
              </w:rPr>
              <w:t>12</w:t>
            </w:r>
            <w:r w:rsidRPr="00403E9A">
              <w:rPr>
                <w:rFonts w:ascii="Verdana" w:hAnsi="Verdana"/>
                <w:color w:val="000000" w:themeColor="text1"/>
              </w:rPr>
              <w:t>.20</w:t>
            </w:r>
            <w:r>
              <w:rPr>
                <w:rFonts w:ascii="Verdana" w:hAnsi="Verdana"/>
                <w:color w:val="000000" w:themeColor="text1"/>
              </w:rPr>
              <w:t>20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>
              <w:rPr>
                <w:rFonts w:ascii="Verdana" w:hAnsi="Verdana"/>
                <w:color w:val="000000" w:themeColor="text1"/>
              </w:rPr>
              <w:t>10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>
              <w:rPr>
                <w:rFonts w:ascii="Verdana" w:hAnsi="Verdana"/>
                <w:color w:val="000000" w:themeColor="text1"/>
              </w:rPr>
              <w:t>2</w:t>
            </w:r>
            <w:r w:rsidRPr="00403E9A">
              <w:rPr>
                <w:rFonts w:ascii="Verdana" w:hAnsi="Verdana"/>
                <w:color w:val="000000" w:themeColor="text1"/>
              </w:rPr>
              <w:t>.2020 г.;</w:t>
            </w:r>
          </w:p>
          <w:p w14:paraId="279B07FF" w14:textId="3BF5F62A" w:rsidR="00635048" w:rsidRDefault="00635048" w:rsidP="000B11DF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</w:t>
            </w:r>
            <w:r w:rsidR="00044040">
              <w:rPr>
                <w:rFonts w:ascii="Verdana" w:hAnsi="Verdana"/>
                <w:color w:val="000000" w:themeColor="text1"/>
              </w:rPr>
              <w:t>2</w:t>
            </w:r>
            <w:r>
              <w:rPr>
                <w:rFonts w:ascii="Verdana" w:hAnsi="Verdana"/>
                <w:color w:val="000000" w:themeColor="text1"/>
              </w:rPr>
              <w:t xml:space="preserve">.7. </w:t>
            </w:r>
            <w:r w:rsidRPr="00765721">
              <w:rPr>
                <w:rFonts w:ascii="Verdana" w:hAnsi="Verdana"/>
                <w:color w:val="000000" w:themeColor="text1"/>
              </w:rPr>
              <w:t xml:space="preserve">Нежилое здание </w:t>
            </w:r>
            <w:r w:rsidR="00E214EB">
              <w:rPr>
                <w:rFonts w:ascii="Verdana" w:hAnsi="Verdana"/>
                <w:color w:val="000000" w:themeColor="text1"/>
              </w:rPr>
              <w:t xml:space="preserve">гаража </w:t>
            </w:r>
            <w:r w:rsidRPr="00403E9A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="00E214EB" w:rsidRPr="00E214EB">
              <w:rPr>
                <w:rFonts w:ascii="Verdana" w:hAnsi="Verdana"/>
                <w:color w:val="000000" w:themeColor="text1"/>
              </w:rPr>
              <w:t xml:space="preserve">24:51:0000000:4459.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Pr="005A7263">
              <w:rPr>
                <w:rFonts w:ascii="Verdana" w:hAnsi="Verdana"/>
                <w:color w:val="000000" w:themeColor="text1"/>
              </w:rPr>
              <w:t>24:51:0000000:445</w:t>
            </w:r>
            <w:r w:rsidR="00E214EB">
              <w:rPr>
                <w:rFonts w:ascii="Verdana" w:hAnsi="Verdana"/>
                <w:color w:val="000000" w:themeColor="text1"/>
              </w:rPr>
              <w:t>9</w:t>
            </w:r>
            <w:r w:rsidRPr="005A7263">
              <w:rPr>
                <w:rFonts w:ascii="Verdana" w:hAnsi="Verdana"/>
                <w:color w:val="000000" w:themeColor="text1"/>
              </w:rPr>
              <w:t xml:space="preserve">-24/108/2020-8 </w:t>
            </w:r>
            <w:r w:rsidRPr="00403E9A">
              <w:rPr>
                <w:rFonts w:ascii="Verdana" w:hAnsi="Verdana"/>
                <w:color w:val="000000" w:themeColor="text1"/>
              </w:rPr>
              <w:t xml:space="preserve">от </w:t>
            </w:r>
            <w:r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9.</w:t>
            </w:r>
            <w:r>
              <w:rPr>
                <w:rFonts w:ascii="Verdana" w:hAnsi="Verdana"/>
                <w:color w:val="000000" w:themeColor="text1"/>
              </w:rPr>
              <w:t>12</w:t>
            </w:r>
            <w:r w:rsidRPr="00403E9A">
              <w:rPr>
                <w:rFonts w:ascii="Verdana" w:hAnsi="Verdana"/>
                <w:color w:val="000000" w:themeColor="text1"/>
              </w:rPr>
              <w:t>.20</w:t>
            </w:r>
            <w:r>
              <w:rPr>
                <w:rFonts w:ascii="Verdana" w:hAnsi="Verdana"/>
                <w:color w:val="000000" w:themeColor="text1"/>
              </w:rPr>
              <w:t>20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>
              <w:rPr>
                <w:rFonts w:ascii="Verdana" w:hAnsi="Verdana"/>
                <w:color w:val="000000" w:themeColor="text1"/>
              </w:rPr>
              <w:t>10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>
              <w:rPr>
                <w:rFonts w:ascii="Verdana" w:hAnsi="Verdana"/>
                <w:color w:val="000000" w:themeColor="text1"/>
              </w:rPr>
              <w:t>2</w:t>
            </w:r>
            <w:r w:rsidRPr="00403E9A">
              <w:rPr>
                <w:rFonts w:ascii="Verdana" w:hAnsi="Verdana"/>
                <w:color w:val="000000" w:themeColor="text1"/>
              </w:rPr>
              <w:t>.2020 г.</w:t>
            </w:r>
          </w:p>
          <w:p w14:paraId="49802533" w14:textId="77777777" w:rsidR="00C15BF4" w:rsidRPr="00460C34" w:rsidRDefault="00C15BF4" w:rsidP="00C15BF4">
            <w:pPr>
              <w:pStyle w:val="a5"/>
              <w:ind w:left="-104" w:right="172" w:hanging="4"/>
              <w:jc w:val="both"/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  <w:p w14:paraId="7B1177B8" w14:textId="1F50D249" w:rsidR="00C15BF4" w:rsidRPr="00460C34" w:rsidRDefault="00C15BF4" w:rsidP="00460C34">
            <w:pPr>
              <w:pStyle w:val="a5"/>
              <w:numPr>
                <w:ilvl w:val="1"/>
                <w:numId w:val="38"/>
              </w:numPr>
              <w:ind w:left="-108" w:right="172" w:firstLine="0"/>
              <w:jc w:val="both"/>
              <w:rPr>
                <w:rFonts w:ascii="Verdana" w:hAnsi="Verdana"/>
                <w:color w:val="000000" w:themeColor="text1"/>
              </w:rPr>
            </w:pPr>
            <w:r w:rsidRPr="00460C34">
              <w:rPr>
                <w:rFonts w:ascii="Verdana" w:hAnsi="Verdana"/>
                <w:color w:val="000000" w:themeColor="text1"/>
              </w:rPr>
      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      </w:r>
          </w:p>
          <w:p w14:paraId="64BD5D85" w14:textId="1E6BC616" w:rsidR="00635048" w:rsidRPr="000B11DF" w:rsidRDefault="00635048" w:rsidP="000B11DF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14:paraId="4C190F91" w14:textId="65F189C3" w:rsidR="00D3435B" w:rsidRDefault="00005863" w:rsidP="00E214EB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</w:t>
      </w:r>
      <w:r w:rsidR="00C15BF4">
        <w:rPr>
          <w:rFonts w:ascii="Verdana" w:hAnsi="Verdana" w:cs="Times New Roman"/>
        </w:rPr>
        <w:t>4</w:t>
      </w:r>
      <w:r>
        <w:rPr>
          <w:rFonts w:ascii="Verdana" w:hAnsi="Verdana" w:cs="Times New Roman"/>
        </w:rPr>
        <w:t xml:space="preserve">. </w:t>
      </w:r>
      <w:r w:rsidR="00E214EB">
        <w:rPr>
          <w:rFonts w:ascii="Verdana" w:hAnsi="Verdana" w:cs="Times New Roman"/>
        </w:rPr>
        <w:t xml:space="preserve">   </w:t>
      </w:r>
      <w:r w:rsidR="00D3435B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D3435B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6EA9B9D" w14:textId="77777777" w:rsidR="00B87B84" w:rsidRPr="00011811" w:rsidRDefault="00B87B84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  <w:sz w:val="10"/>
          <w:szCs w:val="10"/>
        </w:rPr>
      </w:pPr>
    </w:p>
    <w:tbl>
      <w:tblPr>
        <w:tblStyle w:val="ac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04"/>
      </w:tblGrid>
      <w:tr w:rsidR="000E2F36" w:rsidRPr="008509DF" w14:paraId="7A48DE21" w14:textId="77777777" w:rsidTr="00011811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104" w:type="dxa"/>
          </w:tcPr>
          <w:p w14:paraId="17B79E84" w14:textId="7E3EFC3E" w:rsidR="000E2F36" w:rsidRPr="008509DF" w:rsidRDefault="000E2F36" w:rsidP="00460C34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C15BF4">
              <w:rPr>
                <w:rFonts w:ascii="Verdana" w:hAnsi="Verdana"/>
                <w:bCs/>
              </w:rPr>
              <w:t>5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011811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104" w:type="dxa"/>
          </w:tcPr>
          <w:p w14:paraId="3F4CEDED" w14:textId="515FC0C5" w:rsidR="0034333C" w:rsidRPr="008509DF" w:rsidRDefault="000E2F36" w:rsidP="00460C34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C15BF4">
              <w:rPr>
                <w:rFonts w:ascii="Verdana" w:hAnsi="Verdana"/>
                <w:bCs/>
              </w:rPr>
              <w:t>5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01B17867" w14:textId="77777777" w:rsidR="006F77DF" w:rsidRDefault="006F77D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61733548" w:rsidR="008C6495" w:rsidRPr="00224F8A" w:rsidRDefault="00AB5AEE" w:rsidP="00460C34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</w:t>
            </w:r>
            <w:r w:rsidR="00C15BF4">
              <w:rPr>
                <w:rFonts w:ascii="Verdana" w:hAnsi="Verdana"/>
                <w:bCs/>
              </w:rPr>
              <w:t>6</w:t>
            </w:r>
            <w:r w:rsidRPr="00224F8A">
              <w:rPr>
                <w:rFonts w:ascii="Verdana" w:hAnsi="Verdana"/>
                <w:bCs/>
              </w:rPr>
              <w:t>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2196B618" w14:textId="77777777" w:rsidR="00875514" w:rsidRPr="00011811" w:rsidRDefault="0087551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sz w:val="10"/>
          <w:szCs w:val="10"/>
        </w:rPr>
      </w:pPr>
    </w:p>
    <w:p w14:paraId="46427ECD" w14:textId="69F67C7F" w:rsidR="00E0243A" w:rsidRDefault="00D22B24" w:rsidP="0049391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C15BF4">
        <w:rPr>
          <w:rFonts w:ascii="Verdana" w:hAnsi="Verdana" w:cs="Times New Roman"/>
        </w:rPr>
        <w:t>7</w:t>
      </w:r>
      <w:r w:rsidRPr="0005653D">
        <w:rPr>
          <w:rFonts w:ascii="Verdana" w:hAnsi="Verdana" w:cs="Times New Roman"/>
        </w:rPr>
        <w:t xml:space="preserve">. </w:t>
      </w:r>
      <w:r w:rsidR="00005863" w:rsidRPr="00005863">
        <w:rPr>
          <w:rFonts w:ascii="Verdana" w:hAnsi="Verdana" w:cs="Times New Roman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1558BD">
        <w:rPr>
          <w:rFonts w:ascii="Verdana" w:hAnsi="Verdana" w:cs="Times New Roman"/>
        </w:rPr>
        <w:t xml:space="preserve">, </w:t>
      </w:r>
      <w:r w:rsidR="00832D7A">
        <w:rPr>
          <w:rFonts w:ascii="Verdana" w:hAnsi="Verdana" w:cs="Times New Roman"/>
        </w:rPr>
        <w:t>в том числе по арендным отношениям в отношении земельного участка,</w:t>
      </w:r>
      <w:r w:rsidR="00005863" w:rsidRPr="00005863">
        <w:rPr>
          <w:rFonts w:ascii="Verdana" w:hAnsi="Verdana" w:cs="Times New Roman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643B62E" w14:textId="1FCDD0FE" w:rsidR="00CF1A05" w:rsidRDefault="00CF1A05" w:rsidP="00011811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11811">
        <w:rPr>
          <w:rFonts w:ascii="Verdana" w:hAnsi="Verdana"/>
          <w:b/>
        </w:rPr>
        <w:t>ЦЕНА И ПОРЯДОК РАСЧЕТОВ</w:t>
      </w:r>
    </w:p>
    <w:p w14:paraId="35D75A58" w14:textId="77777777" w:rsidR="00875514" w:rsidRPr="00011811" w:rsidRDefault="00875514" w:rsidP="00011811">
      <w:pPr>
        <w:pStyle w:val="a5"/>
        <w:widowControl w:val="0"/>
        <w:tabs>
          <w:tab w:val="left" w:pos="709"/>
        </w:tabs>
        <w:adjustRightInd w:val="0"/>
        <w:ind w:left="360"/>
        <w:rPr>
          <w:rFonts w:ascii="Verdana" w:hAnsi="Verdana"/>
          <w:b/>
        </w:rPr>
      </w:pPr>
    </w:p>
    <w:p w14:paraId="3CB7C6E0" w14:textId="77377454" w:rsidR="00773D72" w:rsidRDefault="007511DF" w:rsidP="00CA7807">
      <w:pPr>
        <w:pStyle w:val="a5"/>
        <w:widowControl w:val="0"/>
        <w:numPr>
          <w:ilvl w:val="1"/>
          <w:numId w:val="27"/>
        </w:numPr>
        <w:tabs>
          <w:tab w:val="left" w:pos="567"/>
          <w:tab w:val="left" w:pos="1701"/>
        </w:tabs>
        <w:adjustRightInd w:val="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1A05"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_____________(__________________)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488772D7" w14:textId="77777777" w:rsidR="00083271" w:rsidRPr="00011811" w:rsidRDefault="00083271" w:rsidP="00011811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ind w:firstLine="709"/>
        <w:jc w:val="both"/>
        <w:rPr>
          <w:rFonts w:ascii="Verdana" w:hAnsi="Verdana"/>
          <w:sz w:val="10"/>
          <w:szCs w:val="10"/>
        </w:rPr>
      </w:pPr>
    </w:p>
    <w:p w14:paraId="76C97E0D" w14:textId="77777777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 Стоимость н</w:t>
      </w:r>
      <w:r w:rsidRPr="00B76F5F">
        <w:rPr>
          <w:rFonts w:ascii="Verdana" w:hAnsi="Verdana"/>
        </w:rPr>
        <w:t>ежило</w:t>
      </w:r>
      <w:r>
        <w:rPr>
          <w:rFonts w:ascii="Verdana" w:hAnsi="Verdana"/>
        </w:rPr>
        <w:t>го</w:t>
      </w:r>
      <w:r w:rsidRPr="00B76F5F">
        <w:rPr>
          <w:rFonts w:ascii="Verdana" w:hAnsi="Verdana"/>
        </w:rPr>
        <w:t xml:space="preserve"> здани</w:t>
      </w:r>
      <w:r>
        <w:rPr>
          <w:rFonts w:ascii="Verdana" w:hAnsi="Verdana"/>
        </w:rPr>
        <w:t>я</w:t>
      </w:r>
      <w:r w:rsidRPr="00B76F5F">
        <w:rPr>
          <w:rFonts w:ascii="Verdana" w:hAnsi="Verdana"/>
        </w:rPr>
        <w:t xml:space="preserve"> конт</w:t>
      </w:r>
      <w:r>
        <w:rPr>
          <w:rFonts w:ascii="Verdana" w:hAnsi="Verdana"/>
        </w:rPr>
        <w:t xml:space="preserve">оры, кадастровый номер </w:t>
      </w:r>
      <w:r w:rsidRPr="00CC0059">
        <w:rPr>
          <w:rFonts w:ascii="Verdana" w:hAnsi="Verdana"/>
          <w:color w:val="000000" w:themeColor="text1"/>
        </w:rPr>
        <w:t>24:51:0000000:4452</w:t>
      </w:r>
      <w:r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</w:rPr>
        <w:t>общей площадью 594,4 кв. м,</w:t>
      </w:r>
      <w:r w:rsidRPr="00B76F5F">
        <w:rPr>
          <w:rFonts w:ascii="Verdana" w:hAnsi="Verdana"/>
        </w:rPr>
        <w:t xml:space="preserve"> </w:t>
      </w:r>
      <w:r>
        <w:rPr>
          <w:rFonts w:ascii="Verdana" w:hAnsi="Verdana"/>
        </w:rPr>
        <w:t>адрес (местонахождение)</w:t>
      </w:r>
      <w:r w:rsidRPr="00B76F5F">
        <w:rPr>
          <w:rFonts w:ascii="Verdana" w:hAnsi="Verdana"/>
        </w:rPr>
        <w:t>: Красноярский край, г. Канск, ул. Шабалина, д.40/1</w:t>
      </w:r>
      <w:r>
        <w:rPr>
          <w:rFonts w:ascii="Verdana" w:hAnsi="Verdana"/>
        </w:rPr>
        <w:t xml:space="preserve">,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2AF5ABE4" w14:textId="77777777" w:rsidR="00493915" w:rsidRPr="000B11DF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2DD00459" w14:textId="77777777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здания</w:t>
      </w:r>
      <w:r w:rsidRPr="00527B3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котельной</w:t>
      </w:r>
      <w:r w:rsidRPr="00FF7586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 xml:space="preserve">кадастровый номер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 xml:space="preserve">4, </w:t>
      </w:r>
      <w:r w:rsidRPr="00FF7586">
        <w:rPr>
          <w:rFonts w:ascii="Verdana" w:hAnsi="Verdana"/>
          <w:color w:val="000000" w:themeColor="text1"/>
        </w:rPr>
        <w:t xml:space="preserve">общей площадью </w:t>
      </w:r>
      <w:r>
        <w:rPr>
          <w:rFonts w:ascii="Verdana" w:hAnsi="Verdana"/>
          <w:color w:val="000000" w:themeColor="text1"/>
        </w:rPr>
        <w:t>129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9</w:t>
      </w:r>
      <w:r w:rsidRPr="00FF7586">
        <w:rPr>
          <w:rFonts w:ascii="Verdana" w:hAnsi="Verdana"/>
          <w:color w:val="000000" w:themeColor="text1"/>
        </w:rPr>
        <w:t xml:space="preserve"> кв. м</w:t>
      </w:r>
      <w:r>
        <w:rPr>
          <w:rFonts w:ascii="Verdana" w:hAnsi="Verdana"/>
          <w:color w:val="000000" w:themeColor="text1"/>
        </w:rPr>
        <w:t>,</w:t>
      </w:r>
      <w:r w:rsidRPr="00773D72">
        <w:rPr>
          <w:rFonts w:ascii="Verdana" w:hAnsi="Verdana"/>
        </w:rPr>
        <w:t xml:space="preserve"> адрес (местонахождение): </w:t>
      </w:r>
      <w:r w:rsidRPr="00B76F5F">
        <w:rPr>
          <w:rFonts w:ascii="Verdana" w:hAnsi="Verdana"/>
        </w:rPr>
        <w:t>Красноярский край, г. Канск, ул. Шабалина, д.40/1</w:t>
      </w:r>
      <w:r>
        <w:rPr>
          <w:rFonts w:ascii="Verdana" w:hAnsi="Verdana"/>
        </w:rPr>
        <w:t xml:space="preserve">, стр. 2,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20439EDA" w14:textId="77777777" w:rsidR="00493915" w:rsidRPr="000B11DF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5D31E6D6" w14:textId="77777777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Pr="00E3329B">
        <w:rPr>
          <w:rFonts w:ascii="Verdana" w:hAnsi="Verdana"/>
        </w:rPr>
        <w:t>здани</w:t>
      </w:r>
      <w:r>
        <w:rPr>
          <w:rFonts w:ascii="Verdana" w:hAnsi="Verdana"/>
        </w:rPr>
        <w:t>я</w:t>
      </w:r>
      <w:r w:rsidRPr="00E3329B">
        <w:rPr>
          <w:rFonts w:ascii="Verdana" w:hAnsi="Verdana"/>
        </w:rPr>
        <w:t xml:space="preserve"> электроцеха, </w:t>
      </w:r>
      <w:r>
        <w:rPr>
          <w:rFonts w:ascii="Verdana" w:hAnsi="Verdana"/>
        </w:rPr>
        <w:t xml:space="preserve">кадастровый номер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 xml:space="preserve">5, </w:t>
      </w:r>
      <w:r w:rsidRPr="00E3329B">
        <w:rPr>
          <w:rFonts w:ascii="Verdana" w:hAnsi="Verdana"/>
        </w:rPr>
        <w:t xml:space="preserve">общей площадью 45,5 кв. м </w:t>
      </w:r>
      <w:r w:rsidRPr="00773D72">
        <w:rPr>
          <w:rFonts w:ascii="Verdana" w:hAnsi="Verdana"/>
        </w:rPr>
        <w:t xml:space="preserve">адрес (местонахождение): </w:t>
      </w:r>
      <w:r w:rsidRPr="00B76F5F">
        <w:rPr>
          <w:rFonts w:ascii="Verdana" w:hAnsi="Verdana"/>
        </w:rPr>
        <w:t>Красноярский край, г. Канск, ул. Шабалина, д.40/1</w:t>
      </w:r>
      <w:r>
        <w:rPr>
          <w:rFonts w:ascii="Verdana" w:hAnsi="Verdana"/>
        </w:rPr>
        <w:t xml:space="preserve">, стр. 3,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5E71912F" w14:textId="77777777" w:rsidR="00493915" w:rsidRPr="000B11DF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45DB9210" w14:textId="77777777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 здания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  <w:color w:val="000000" w:themeColor="text1"/>
        </w:rPr>
        <w:t>конторы</w:t>
      </w:r>
      <w:r w:rsidRPr="00FF7586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 xml:space="preserve">кадастровый номер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 xml:space="preserve">6, </w:t>
      </w:r>
      <w:r w:rsidRPr="00FF7586">
        <w:rPr>
          <w:rFonts w:ascii="Verdana" w:hAnsi="Verdana"/>
          <w:color w:val="000000" w:themeColor="text1"/>
        </w:rPr>
        <w:t xml:space="preserve">общей площадью </w:t>
      </w:r>
      <w:r>
        <w:rPr>
          <w:rFonts w:ascii="Verdana" w:hAnsi="Verdana"/>
          <w:color w:val="000000" w:themeColor="text1"/>
        </w:rPr>
        <w:t>506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1</w:t>
      </w:r>
      <w:r w:rsidRPr="00FF7586">
        <w:rPr>
          <w:rFonts w:ascii="Verdana" w:hAnsi="Verdana"/>
          <w:color w:val="000000" w:themeColor="text1"/>
        </w:rPr>
        <w:t xml:space="preserve"> кв. м</w:t>
      </w:r>
      <w:r>
        <w:rPr>
          <w:rFonts w:ascii="Verdana" w:hAnsi="Verdana"/>
          <w:color w:val="000000" w:themeColor="text1"/>
        </w:rPr>
        <w:t>,</w:t>
      </w:r>
      <w:r w:rsidRPr="00773D72">
        <w:rPr>
          <w:rFonts w:ascii="Verdana" w:hAnsi="Verdana"/>
        </w:rPr>
        <w:t xml:space="preserve"> адрес (местонахождение): </w:t>
      </w:r>
      <w:r w:rsidRPr="00E3329B">
        <w:rPr>
          <w:rFonts w:ascii="Verdana" w:hAnsi="Verdana"/>
        </w:rPr>
        <w:t>Красноярский край, г. Кан</w:t>
      </w:r>
      <w:r>
        <w:rPr>
          <w:rFonts w:ascii="Verdana" w:hAnsi="Verdana"/>
        </w:rPr>
        <w:t xml:space="preserve">ск, ул. Шабалина, д.40/1, стр. 4,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137F4F6D" w14:textId="77777777" w:rsidR="00493915" w:rsidRPr="000B11DF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1616B362" w14:textId="77777777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Pr="00FF7586">
        <w:rPr>
          <w:rFonts w:ascii="Verdana" w:hAnsi="Verdana"/>
          <w:color w:val="000000" w:themeColor="text1"/>
        </w:rPr>
        <w:t>здани</w:t>
      </w:r>
      <w:r>
        <w:rPr>
          <w:rFonts w:ascii="Verdana" w:hAnsi="Verdana"/>
          <w:color w:val="000000" w:themeColor="text1"/>
        </w:rPr>
        <w:t>я проходной</w:t>
      </w:r>
      <w:r w:rsidRPr="00FF7586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 xml:space="preserve">кадастровый номер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 xml:space="preserve">7, </w:t>
      </w:r>
      <w:r w:rsidRPr="00FF7586">
        <w:rPr>
          <w:rFonts w:ascii="Verdana" w:hAnsi="Verdana"/>
          <w:color w:val="000000" w:themeColor="text1"/>
        </w:rPr>
        <w:t xml:space="preserve">общей площадью </w:t>
      </w:r>
      <w:r>
        <w:rPr>
          <w:rFonts w:ascii="Verdana" w:hAnsi="Verdana"/>
          <w:color w:val="000000" w:themeColor="text1"/>
        </w:rPr>
        <w:t>11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6</w:t>
      </w:r>
      <w:r w:rsidRPr="00FF7586">
        <w:rPr>
          <w:rFonts w:ascii="Verdana" w:hAnsi="Verdana"/>
          <w:color w:val="000000" w:themeColor="text1"/>
        </w:rPr>
        <w:t xml:space="preserve"> кв. м</w:t>
      </w:r>
      <w:r w:rsidRPr="00773D72">
        <w:rPr>
          <w:rFonts w:ascii="Verdana" w:hAnsi="Verdana"/>
        </w:rPr>
        <w:t xml:space="preserve">, адрес (местонахождение): </w:t>
      </w:r>
      <w:r w:rsidRPr="00E3329B">
        <w:rPr>
          <w:rFonts w:ascii="Verdana" w:hAnsi="Verdana"/>
        </w:rPr>
        <w:t>Красноярский край, г. Кан</w:t>
      </w:r>
      <w:r>
        <w:rPr>
          <w:rFonts w:ascii="Verdana" w:hAnsi="Verdana"/>
        </w:rPr>
        <w:t xml:space="preserve">ск, ул. Шабалина, д.40/1, стр. 5,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7FEC8593" w14:textId="77777777" w:rsidR="00493915" w:rsidRPr="000B11DF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2FCD437A" w14:textId="77777777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Pr="00E3329B">
        <w:rPr>
          <w:rFonts w:ascii="Verdana" w:hAnsi="Verdana"/>
        </w:rPr>
        <w:t>здани</w:t>
      </w:r>
      <w:r>
        <w:rPr>
          <w:rFonts w:ascii="Verdana" w:hAnsi="Verdana"/>
        </w:rPr>
        <w:t>я</w:t>
      </w:r>
      <w:r w:rsidRPr="00E3329B">
        <w:rPr>
          <w:rFonts w:ascii="Verdana" w:hAnsi="Verdana"/>
        </w:rPr>
        <w:t xml:space="preserve"> склада,</w:t>
      </w:r>
      <w:r>
        <w:rPr>
          <w:rFonts w:ascii="Verdana" w:hAnsi="Verdana"/>
        </w:rPr>
        <w:t xml:space="preserve"> кадастровый номер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8,</w:t>
      </w:r>
      <w:r w:rsidRPr="00E3329B">
        <w:rPr>
          <w:rFonts w:ascii="Verdana" w:hAnsi="Verdana"/>
        </w:rPr>
        <w:t xml:space="preserve"> общей площадью 139,0</w:t>
      </w:r>
      <w:r>
        <w:rPr>
          <w:rFonts w:ascii="Verdana" w:hAnsi="Verdana"/>
        </w:rPr>
        <w:t xml:space="preserve"> кв.м</w:t>
      </w:r>
      <w:r w:rsidRPr="00773D72">
        <w:rPr>
          <w:rFonts w:ascii="Verdana" w:hAnsi="Verdana"/>
        </w:rPr>
        <w:t xml:space="preserve">, адрес (местонахождение): </w:t>
      </w:r>
      <w:r w:rsidRPr="00E3329B">
        <w:rPr>
          <w:rFonts w:ascii="Verdana" w:hAnsi="Verdana"/>
        </w:rPr>
        <w:t>Красноярский край, г. Канск, ул. Шабалина, д.40/</w:t>
      </w:r>
      <w:r>
        <w:rPr>
          <w:rFonts w:ascii="Verdana" w:hAnsi="Verdana"/>
        </w:rPr>
        <w:t xml:space="preserve">1, стр. 6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70A26886" w14:textId="77777777" w:rsidR="00493915" w:rsidRPr="000B11DF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2190C847" w14:textId="299F60CD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Pr="00FF7586">
        <w:rPr>
          <w:rFonts w:ascii="Verdana" w:hAnsi="Verdana"/>
          <w:color w:val="000000" w:themeColor="text1"/>
        </w:rPr>
        <w:t>здани</w:t>
      </w:r>
      <w:r>
        <w:rPr>
          <w:rFonts w:ascii="Verdana" w:hAnsi="Verdana"/>
          <w:color w:val="000000" w:themeColor="text1"/>
        </w:rPr>
        <w:t>я гаража</w:t>
      </w:r>
      <w:r w:rsidRPr="00FF7586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 xml:space="preserve">кадастровый номер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 xml:space="preserve">9, </w:t>
      </w:r>
      <w:r w:rsidRPr="00FF7586">
        <w:rPr>
          <w:rFonts w:ascii="Verdana" w:hAnsi="Verdana"/>
          <w:color w:val="000000" w:themeColor="text1"/>
        </w:rPr>
        <w:t xml:space="preserve">общей площадью </w:t>
      </w:r>
      <w:r w:rsidRPr="00E06EAA">
        <w:rPr>
          <w:rFonts w:ascii="Verdana" w:hAnsi="Verdana"/>
          <w:color w:val="000000" w:themeColor="text1"/>
        </w:rPr>
        <w:t>1681,2</w:t>
      </w:r>
      <w:r>
        <w:rPr>
          <w:rFonts w:ascii="Verdana" w:hAnsi="Verdana"/>
          <w:color w:val="000000" w:themeColor="text1"/>
        </w:rPr>
        <w:t xml:space="preserve"> кв. м</w:t>
      </w:r>
      <w:r w:rsidRPr="00773D72">
        <w:rPr>
          <w:rFonts w:ascii="Verdana" w:hAnsi="Verdana"/>
        </w:rPr>
        <w:t xml:space="preserve">, адрес (местонахождение): </w:t>
      </w:r>
      <w:r w:rsidRPr="00E3329B">
        <w:rPr>
          <w:rFonts w:ascii="Verdana" w:hAnsi="Verdana"/>
        </w:rPr>
        <w:t>Красноярский край, г. Канск, ул. Шабалина, д.40/</w:t>
      </w:r>
      <w:r>
        <w:rPr>
          <w:rFonts w:ascii="Verdana" w:hAnsi="Verdana"/>
        </w:rPr>
        <w:t xml:space="preserve">1, стр. 7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62515A42" w14:textId="45506BDB" w:rsidR="00734F3D" w:rsidRPr="00460C34" w:rsidRDefault="00734F3D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10"/>
          <w:szCs w:val="10"/>
        </w:rPr>
      </w:pPr>
    </w:p>
    <w:p w14:paraId="3EF5FD40" w14:textId="0010906A" w:rsidR="00734F3D" w:rsidRDefault="00734F3D" w:rsidP="00734F3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-Стоимость Права аренды земельного участка, кадастровый номер </w:t>
      </w:r>
      <w:r w:rsidRPr="00734F3D">
        <w:rPr>
          <w:rFonts w:ascii="Verdana" w:hAnsi="Verdana"/>
        </w:rPr>
        <w:t>24:51:0204153:46</w:t>
      </w:r>
      <w:r>
        <w:rPr>
          <w:rFonts w:ascii="Verdana" w:hAnsi="Verdana"/>
        </w:rPr>
        <w:t xml:space="preserve">, общей площадью 13 220 кв.м., </w:t>
      </w:r>
      <w:r w:rsidRPr="00773D72">
        <w:rPr>
          <w:rFonts w:ascii="Verdana" w:hAnsi="Verdana"/>
        </w:rPr>
        <w:t>адрес (местонахождение):</w:t>
      </w:r>
      <w:r w:rsidR="00E953CF" w:rsidRPr="00E953CF">
        <w:t xml:space="preserve"> </w:t>
      </w:r>
      <w:r w:rsidR="00E953CF" w:rsidRPr="00E953CF">
        <w:rPr>
          <w:rFonts w:ascii="Verdana" w:hAnsi="Verdana"/>
        </w:rPr>
        <w:t>установлено относительно ориентира, расположенного в границах участка. Почтовый адрес ориентира: Красноярский край</w:t>
      </w:r>
      <w:r w:rsidR="00E953CF">
        <w:rPr>
          <w:rFonts w:ascii="Verdana" w:hAnsi="Verdana"/>
        </w:rPr>
        <w:t>, г. Канск, ул. Шабалина, №40/1</w:t>
      </w:r>
      <w:r w:rsidRPr="00773D72">
        <w:rPr>
          <w:rFonts w:ascii="Verdana" w:hAnsi="Verdana"/>
        </w:rPr>
        <w:t xml:space="preserve"> </w:t>
      </w:r>
      <w:r w:rsidRPr="00F502C3">
        <w:rPr>
          <w:rFonts w:ascii="Verdana" w:hAnsi="Verdana"/>
        </w:rPr>
        <w:t>составляет</w:t>
      </w:r>
      <w:r>
        <w:rPr>
          <w:rFonts w:ascii="Verdana" w:hAnsi="Verdana"/>
        </w:rPr>
        <w:t xml:space="preserve"> (__________________) рублей ___</w:t>
      </w:r>
      <w:r w:rsidRPr="00F502C3">
        <w:rPr>
          <w:rFonts w:ascii="Verdana" w:hAnsi="Verdana"/>
        </w:rPr>
        <w:t xml:space="preserve"> копеек</w:t>
      </w:r>
      <w:r>
        <w:rPr>
          <w:rFonts w:ascii="Verdana" w:hAnsi="Verdana"/>
        </w:rPr>
        <w:t xml:space="preserve">, </w:t>
      </w:r>
      <w:r w:rsidR="00E953CF" w:rsidRPr="00E953CF">
        <w:rPr>
          <w:rFonts w:ascii="Verdana" w:hAnsi="Verdana"/>
        </w:rPr>
        <w:t>(в том числе НДС исчисленный в соответствии с действующим законодательством).</w:t>
      </w:r>
    </w:p>
    <w:p w14:paraId="39468082" w14:textId="77777777" w:rsidR="00734F3D" w:rsidRDefault="00734F3D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4B7FABDB" w14:textId="77777777" w:rsidR="00A3380C" w:rsidRPr="00011811" w:rsidRDefault="00A3380C" w:rsidP="007511DF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  <w:sz w:val="10"/>
          <w:szCs w:val="10"/>
        </w:rPr>
      </w:pPr>
    </w:p>
    <w:p w14:paraId="1943DEEB" w14:textId="40A49A1F" w:rsidR="00B64B5C" w:rsidRPr="00011811" w:rsidRDefault="007511DF" w:rsidP="00CA7807">
      <w:pPr>
        <w:pStyle w:val="a5"/>
        <w:numPr>
          <w:ilvl w:val="1"/>
          <w:numId w:val="27"/>
        </w:numPr>
        <w:tabs>
          <w:tab w:val="left" w:pos="426"/>
          <w:tab w:val="left" w:pos="1701"/>
        </w:tabs>
        <w:adjustRightInd w:val="0"/>
        <w:ind w:left="0" w:right="-1" w:hanging="11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64B5C" w:rsidRPr="0001181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011811" w:rsidRDefault="00DE0E51" w:rsidP="00C31E01">
      <w:pPr>
        <w:pStyle w:val="a5"/>
        <w:adjustRightInd w:val="0"/>
        <w:ind w:right="-1" w:firstLine="426"/>
        <w:jc w:val="both"/>
        <w:rPr>
          <w:rFonts w:ascii="Verdana" w:hAnsi="Verdana"/>
          <w:sz w:val="10"/>
          <w:szCs w:val="10"/>
          <w:highlight w:val="yellow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787"/>
        <w:gridCol w:w="76"/>
      </w:tblGrid>
      <w:tr w:rsidR="00C31E01" w:rsidRPr="008509DF" w14:paraId="2C3F5C5E" w14:textId="77777777" w:rsidTr="00011811">
        <w:trPr>
          <w:trHeight w:val="565"/>
        </w:trPr>
        <w:tc>
          <w:tcPr>
            <w:tcW w:w="2493" w:type="dxa"/>
            <w:shd w:val="clear" w:color="auto" w:fill="auto"/>
          </w:tcPr>
          <w:p w14:paraId="34C99ACF" w14:textId="77777777" w:rsidR="004058F5" w:rsidRPr="008509DF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3544D22A" w14:textId="5A215E14" w:rsidR="004058F5" w:rsidRPr="008509DF" w:rsidRDefault="004058F5" w:rsidP="00011811">
            <w:pPr>
              <w:adjustRightInd w:val="0"/>
              <w:spacing w:after="0"/>
              <w:ind w:right="3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</w:t>
            </w:r>
            <w:r w:rsidR="0077778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4058F5" w:rsidRPr="008076AD" w14:paraId="70998C20" w14:textId="77777777" w:rsidTr="00011811">
        <w:trPr>
          <w:gridAfter w:val="1"/>
          <w:wAfter w:w="76" w:type="dxa"/>
          <w:trHeight w:val="1463"/>
        </w:trPr>
        <w:tc>
          <w:tcPr>
            <w:tcW w:w="2493" w:type="dxa"/>
            <w:shd w:val="clear" w:color="auto" w:fill="auto"/>
          </w:tcPr>
          <w:p w14:paraId="15C74417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88BD3D7" w14:textId="3FA36D1A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т.ч. с использованием кредитных средств</w:t>
            </w:r>
            <w:r w:rsidR="00AA7E35" w:rsidRPr="001423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959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74A9C66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5EBEDD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3A551D7" w14:textId="27247BE0" w:rsidR="004058F5" w:rsidRPr="00D22B24" w:rsidRDefault="00506D9A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ариант </w:t>
            </w:r>
            <w:r w:rsidR="004058F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EE7EA92" w14:textId="4C3B963B" w:rsidR="004058F5" w:rsidRPr="008076AD" w:rsidRDefault="004058F5" w:rsidP="0001181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т.ч. с использованием кредитных средств</w:t>
            </w:r>
          </w:p>
        </w:tc>
        <w:tc>
          <w:tcPr>
            <w:tcW w:w="6787" w:type="dxa"/>
            <w:shd w:val="clear" w:color="auto" w:fill="auto"/>
          </w:tcPr>
          <w:p w14:paraId="06139471" w14:textId="5772A2CC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 в течение 2 (двух) рабочих дней с даты подписания Договора Покупатель открывает аккредитив</w:t>
            </w:r>
            <w:r w:rsidR="00506D9A" w:rsidRPr="00B13DF5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№___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законодательством/) </w:t>
            </w:r>
          </w:p>
          <w:p w14:paraId="3832615B" w14:textId="77777777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FCDC3A2" w14:textId="77777777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0D676A11" w14:textId="6D8F1CA6" w:rsidR="00611788" w:rsidRDefault="00611788" w:rsidP="00C31E01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/ 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1788">
              <w:rPr>
                <w:rFonts w:ascii="Verdana" w:hAnsi="Verdana"/>
                <w:sz w:val="20"/>
                <w:szCs w:val="20"/>
              </w:rPr>
              <w:t>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Договору.</w:t>
            </w:r>
          </w:p>
          <w:p w14:paraId="67DEFCEA" w14:textId="77777777" w:rsidR="004058F5" w:rsidRPr="00373E89" w:rsidRDefault="004058F5" w:rsidP="00B13DF5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011811" w:rsidRDefault="009D6025" w:rsidP="00C31E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50"/>
      </w:tblGrid>
      <w:tr w:rsidR="00C31E01" w:rsidRPr="008509DF" w14:paraId="5FDB42E2" w14:textId="77777777" w:rsidTr="000B11DF">
        <w:trPr>
          <w:trHeight w:val="1147"/>
        </w:trPr>
        <w:tc>
          <w:tcPr>
            <w:tcW w:w="2506" w:type="dxa"/>
            <w:shd w:val="clear" w:color="auto" w:fill="auto"/>
          </w:tcPr>
          <w:p w14:paraId="1E0B91C1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3CE35E6C" w14:textId="77777777" w:rsidR="004058F5" w:rsidRPr="008076AD" w:rsidRDefault="004058F5" w:rsidP="00C31E01">
            <w:pPr>
              <w:spacing w:after="0" w:line="240" w:lineRule="auto"/>
              <w:ind w:left="176"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6850" w:type="dxa"/>
            <w:shd w:val="clear" w:color="auto" w:fill="auto"/>
          </w:tcPr>
          <w:p w14:paraId="10F69C6A" w14:textId="494A9431" w:rsidR="004058F5" w:rsidRPr="008509DF" w:rsidRDefault="004058F5" w:rsidP="000B11DF">
            <w:pPr>
              <w:pStyle w:val="a5"/>
              <w:numPr>
                <w:ilvl w:val="2"/>
                <w:numId w:val="22"/>
              </w:numPr>
              <w:ind w:left="31" w:right="-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493915">
              <w:rPr>
                <w:rFonts w:ascii="Verdana" w:hAnsi="Verdana"/>
                <w:i/>
                <w:color w:val="0070C0"/>
              </w:rPr>
              <w:t>783 0</w:t>
            </w:r>
            <w:r w:rsidR="008B65F0">
              <w:rPr>
                <w:rFonts w:ascii="Verdana" w:hAnsi="Verdana"/>
                <w:i/>
                <w:color w:val="0070C0"/>
              </w:rPr>
              <w:t xml:space="preserve">00 </w:t>
            </w:r>
            <w:r w:rsidRPr="008076AD">
              <w:rPr>
                <w:rFonts w:ascii="Verdana" w:hAnsi="Verdana"/>
                <w:i/>
                <w:color w:val="0070C0"/>
              </w:rPr>
              <w:t>(</w:t>
            </w:r>
            <w:r w:rsidR="00CA7807">
              <w:rPr>
                <w:rFonts w:ascii="Verdana" w:hAnsi="Verdana"/>
                <w:i/>
                <w:color w:val="0070C0"/>
              </w:rPr>
              <w:t>Семьсот восемьдесят три тысячи</w:t>
            </w:r>
            <w:r w:rsidRPr="008076AD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8B65F0" w:rsidRPr="00011811">
              <w:rPr>
                <w:rFonts w:ascii="Verdana" w:hAnsi="Verdana"/>
                <w:i/>
                <w:color w:val="0070C0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Pr="000E254A">
              <w:rPr>
                <w:rFonts w:ascii="Verdana" w:hAnsi="Verdana"/>
                <w:i/>
                <w:color w:val="0070C0"/>
              </w:rPr>
              <w:t>),</w:t>
            </w:r>
            <w:r w:rsidRPr="000E254A">
              <w:rPr>
                <w:rFonts w:ascii="Verdana" w:hAnsi="Verdana"/>
                <w:color w:val="0070C0"/>
              </w:rPr>
              <w:t xml:space="preserve"> </w:t>
            </w:r>
            <w:r w:rsidRPr="000E254A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</w:tc>
      </w:tr>
    </w:tbl>
    <w:p w14:paraId="04D9CB02" w14:textId="77777777" w:rsidR="004058F5" w:rsidRPr="000B11DF" w:rsidRDefault="004058F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4E8F65A2" w:rsidR="00CF1A05" w:rsidRPr="008509DF" w:rsidRDefault="003D002A" w:rsidP="00CA780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CA780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CA780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672"/>
      </w:tblGrid>
      <w:tr w:rsidR="000A1317" w:rsidRPr="008509DF" w14:paraId="6DD0C0DF" w14:textId="77777777" w:rsidTr="000B11DF">
        <w:trPr>
          <w:trHeight w:val="5927"/>
        </w:trPr>
        <w:tc>
          <w:tcPr>
            <w:tcW w:w="2826" w:type="dxa"/>
            <w:shd w:val="clear" w:color="auto" w:fill="auto"/>
          </w:tcPr>
          <w:p w14:paraId="44B69CD0" w14:textId="761B49A4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290B2F3" w14:textId="7A0BC9CC" w:rsidR="00167E08" w:rsidRDefault="00764972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64972"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auto"/>
          </w:tcPr>
          <w:p w14:paraId="7799AF28" w14:textId="028FA186" w:rsidR="001B1B44" w:rsidRDefault="00803BB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3B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7DF5677B" w:rsidR="000A1317" w:rsidRPr="00D729C2" w:rsidRDefault="00803BB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3BB6">
              <w:rPr>
                <w:rFonts w:ascii="Verdana" w:hAnsi="Verdana"/>
              </w:rPr>
              <w:t>2.6.1.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 (совместно подать заявления о погашении залога в силу закона), в течение 10 (десяти) рабочих дней с момента исполнения Покупателем обязательств по оплате цены недвижимого имущества в полном объеме и поступления на расчетный счет Продавца денежных средств по Договору в полном объеме.</w:t>
            </w:r>
          </w:p>
        </w:tc>
      </w:tr>
      <w:tr w:rsidR="00AA7E35" w:rsidRPr="008509DF" w14:paraId="5EBFA9B6" w14:textId="77777777" w:rsidTr="00011811">
        <w:trPr>
          <w:trHeight w:val="1469"/>
        </w:trPr>
        <w:tc>
          <w:tcPr>
            <w:tcW w:w="2826" w:type="dxa"/>
            <w:shd w:val="clear" w:color="auto" w:fill="auto"/>
          </w:tcPr>
          <w:p w14:paraId="1636A257" w14:textId="77777777" w:rsidR="00AA7E35" w:rsidRPr="008509DF" w:rsidRDefault="00AA7E35" w:rsidP="00AA7E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594227FF" w:rsidR="00AA7E35" w:rsidRPr="008509DF" w:rsidRDefault="00AA7E35" w:rsidP="00640CE7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 w:rsidR="00640CE7">
              <w:rPr>
                <w:rFonts w:ascii="Verdana" w:hAnsi="Verdana"/>
                <w:i/>
                <w:color w:val="FF0000"/>
              </w:rPr>
              <w:t xml:space="preserve"> и оплаты  с использованием кредитных средств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73249D9E" w14:textId="12E0C1FC" w:rsidR="00AA7E35" w:rsidRPr="00672CCD" w:rsidRDefault="00AA7E35" w:rsidP="00AA7E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F8CB384" w14:textId="77777777" w:rsidR="000F65EF" w:rsidRPr="000B11DF" w:rsidRDefault="000F65E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682A3C5" w14:textId="169FD9D7" w:rsidR="008A1B72" w:rsidRDefault="00167E08" w:rsidP="00CA7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0D74D02B" w14:textId="56E8F95A" w:rsidR="00CA7807" w:rsidRDefault="00CA780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B2D4B7" w14:textId="1C1428F6" w:rsidR="00CA7807" w:rsidRDefault="00CA780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741938" w14:textId="450D3D4B" w:rsidR="00CA7807" w:rsidRDefault="00CA780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F53586" w14:textId="35B22C1B" w:rsidR="00CA7807" w:rsidRDefault="00CA780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2C614" w14:textId="74AE7B32" w:rsidR="00CA7807" w:rsidRDefault="00CA780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B9190F" w14:textId="77777777" w:rsidR="00CA7807" w:rsidRPr="008509DF" w:rsidRDefault="00CA780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498EABC7" w:rsidR="00167E08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0160D793" w14:textId="77777777" w:rsidR="000F65EF" w:rsidRPr="00A3380C" w:rsidRDefault="000F65EF" w:rsidP="00011811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tbl>
      <w:tblPr>
        <w:tblW w:w="973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724"/>
      </w:tblGrid>
      <w:tr w:rsidR="00167E08" w:rsidRPr="00672CCD" w14:paraId="1723C89A" w14:textId="77777777" w:rsidTr="00011811">
        <w:trPr>
          <w:trHeight w:val="2998"/>
        </w:trPr>
        <w:tc>
          <w:tcPr>
            <w:tcW w:w="3010" w:type="dxa"/>
            <w:shd w:val="clear" w:color="auto" w:fill="auto"/>
          </w:tcPr>
          <w:p w14:paraId="52CFED0A" w14:textId="6A0A7873" w:rsidR="001C25D8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         </w:t>
            </w:r>
            <w:r w:rsidR="00C31E0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прямых расчетах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D4681C8" w14:textId="2B2E8B0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3398BC00" w14:textId="2B5C1888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725DBDF" w14:textId="1332B00C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A987622" w14:textId="4FDA8FF4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ED155D7" w14:textId="2AA0851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6B1EFCF3" w14:textId="51AB2FC9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2F552423" w14:textId="65FFA986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C177756" w14:textId="7CCA9F27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4488785" w14:textId="73D611D3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7676C050" w14:textId="77214691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529D3218" w14:textId="77777777" w:rsidR="00F83381" w:rsidRPr="0001181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8"/>
                <w:szCs w:val="8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95CCE1A" w14:textId="33EEF029" w:rsidR="00167E08" w:rsidRPr="008509DF" w:rsidRDefault="00167E08" w:rsidP="0001181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>ООО «ЦНС»:</w:t>
            </w:r>
          </w:p>
        </w:tc>
        <w:tc>
          <w:tcPr>
            <w:tcW w:w="6724" w:type="dxa"/>
            <w:shd w:val="clear" w:color="auto" w:fill="auto"/>
          </w:tcPr>
          <w:p w14:paraId="1D89273E" w14:textId="043D6E06" w:rsidR="00D45A65" w:rsidRDefault="00D45A65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82F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>
              <w:rPr>
                <w:sz w:val="20"/>
                <w:szCs w:val="20"/>
              </w:rPr>
              <w:t xml:space="preserve"> </w:t>
            </w:r>
          </w:p>
          <w:p w14:paraId="00B08C53" w14:textId="77777777" w:rsidR="00F83381" w:rsidRPr="00011811" w:rsidRDefault="00F83381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  <w:p w14:paraId="2683536A" w14:textId="6C3B6D4F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="00633CF9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  <w:r w:rsidR="000F65EF" w:rsidRPr="00167E08" w:rsidDel="000F65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465EE05" w14:textId="35EB1048" w:rsidR="00764972" w:rsidRPr="00011811" w:rsidRDefault="00764972" w:rsidP="00011811">
      <w:pPr>
        <w:widowControl w:val="0"/>
        <w:shd w:val="clear" w:color="auto" w:fill="FFFFFF"/>
        <w:tabs>
          <w:tab w:val="left" w:pos="709"/>
          <w:tab w:val="left" w:pos="31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14:paraId="5D1E3E5C" w14:textId="773E1985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797"/>
      </w:tblGrid>
      <w:tr w:rsidR="00211F7A" w:rsidRPr="008509DF" w14:paraId="70C76F10" w14:textId="77777777" w:rsidTr="000B11DF">
        <w:trPr>
          <w:trHeight w:val="1679"/>
        </w:trPr>
        <w:tc>
          <w:tcPr>
            <w:tcW w:w="3019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797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67B74B" w14:textId="77777777" w:rsidR="00C31E01" w:rsidRPr="00011811" w:rsidRDefault="00C31E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E23E6" w14:textId="29A1347F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01181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51"/>
        <w:gridCol w:w="153"/>
      </w:tblGrid>
      <w:tr w:rsidR="00F54327" w:rsidRPr="008509DF" w14:paraId="4DED3D2A" w14:textId="77777777" w:rsidTr="00011811">
        <w:trPr>
          <w:gridAfter w:val="1"/>
          <w:wAfter w:w="153" w:type="dxa"/>
        </w:trPr>
        <w:tc>
          <w:tcPr>
            <w:tcW w:w="3120" w:type="dxa"/>
          </w:tcPr>
          <w:p w14:paraId="31837F38" w14:textId="7344015A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651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011811">
        <w:tc>
          <w:tcPr>
            <w:tcW w:w="3120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6804" w:type="dxa"/>
            <w:gridSpan w:val="2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011811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935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41"/>
      </w:tblGrid>
      <w:tr w:rsidR="00C42EB6" w:rsidRPr="00A94BE8" w14:paraId="3D5DA7C0" w14:textId="77777777" w:rsidTr="00011811">
        <w:tc>
          <w:tcPr>
            <w:tcW w:w="1915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441" w:type="dxa"/>
          </w:tcPr>
          <w:p w14:paraId="0BCC72D2" w14:textId="6444C311" w:rsidR="00C42EB6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011811">
        <w:tc>
          <w:tcPr>
            <w:tcW w:w="1915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441" w:type="dxa"/>
          </w:tcPr>
          <w:p w14:paraId="1D3C2781" w14:textId="54839397" w:rsidR="00167E08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011811">
        <w:tc>
          <w:tcPr>
            <w:tcW w:w="1915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441" w:type="dxa"/>
          </w:tcPr>
          <w:p w14:paraId="123D5E10" w14:textId="61100830" w:rsidR="00167E08" w:rsidRPr="008076AD" w:rsidRDefault="00F83381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51FC579" w14:textId="4DCA8DA5" w:rsidR="00CE777E" w:rsidRPr="00011811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011811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214" w:type="dxa"/>
        <w:tblInd w:w="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053"/>
      </w:tblGrid>
      <w:tr w:rsidR="00046C89" w:rsidRPr="0055668A" w14:paraId="49EEA15A" w14:textId="77777777" w:rsidTr="00011811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53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BE2" w14:textId="4F44BE05" w:rsidR="00C42EB6" w:rsidRPr="00C42EB6" w:rsidRDefault="00F83381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9.2.1. 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</w:t>
            </w:r>
            <w:r w:rsidR="00D576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/не продлен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номинальный счет/не размещены денежные средства на номинальном счете ООО «ЦНС» в установленные Договором сроки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011811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45B2D308" w14:textId="36BD3FC4" w:rsidR="004816A7" w:rsidRDefault="00E30683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ECC4F02" w14:textId="18ABD69A" w:rsidR="00A30CA0" w:rsidRPr="00C76935" w:rsidRDefault="0055668A" w:rsidP="000118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1A2B2ED" w:rsidR="00A30CA0" w:rsidRDefault="00C76935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49B70517" w14:textId="77777777" w:rsidR="00C77CB8" w:rsidRPr="00011811" w:rsidRDefault="00C77CB8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07F45BF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7941D7" w14:textId="29787D73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715C74" w14:textId="223190C2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8B1DAB" w14:textId="3B862816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BCAA29" w14:textId="2777AFBE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9DC652" w14:textId="5BC06A56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BC49B8" w14:textId="291057B6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01B196" w14:textId="2B04F206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C59BEE" w14:textId="2B617339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8E172A" w14:textId="428EE75C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4E9560" w14:textId="26C76DBE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C9CD97" w14:textId="06E3F05B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1888110" w14:textId="677190BC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ACA5983" w14:textId="55F996C1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31955A2" w14:textId="6B141AE0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57E7C7" w14:textId="494B2568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E6DFA5" w14:textId="50C8C635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68B56C" w14:textId="725BA792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386FEB" w14:textId="55729964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6819" w14:textId="43E4387B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7A206" w14:textId="2E81F311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A568DD8" w14:textId="2620860F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C3A39F" w14:textId="47FB723F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5AA6A4" w14:textId="11C92220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2EE4DD" w14:textId="65E15BDD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8E15BD" w14:textId="722160FD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92C3F9" w14:textId="1B75E507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E00AA6" w14:textId="254E2CAB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31472BD" w14:textId="44555B11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937F35" w14:textId="73F5824E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94D81B" w14:textId="32D8E600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FC673D" w14:textId="12232A12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11BA98" w14:textId="5D6BB6AA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4B6CCE" w14:textId="59C93A9E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DAAE85" w14:textId="6D0C68A5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339E59" w14:textId="77777777" w:rsidR="002D5586" w:rsidRPr="002D5586" w:rsidRDefault="002D5586" w:rsidP="002D55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D5586">
        <w:rPr>
          <w:rFonts w:ascii="Verdana" w:hAnsi="Verdana"/>
          <w:sz w:val="20"/>
          <w:szCs w:val="20"/>
        </w:rPr>
        <w:t>Приложение №1</w:t>
      </w:r>
    </w:p>
    <w:p w14:paraId="184E97AC" w14:textId="77777777" w:rsidR="002D5586" w:rsidRPr="002D5586" w:rsidRDefault="002D5586" w:rsidP="002D558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A1D6513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«___»_____________ 20__</w:t>
      </w:r>
    </w:p>
    <w:p w14:paraId="74BB373B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sz w:val="20"/>
          <w:szCs w:val="20"/>
          <w:lang w:eastAsia="en-CA"/>
        </w:rPr>
      </w:pPr>
    </w:p>
    <w:p w14:paraId="4D42CE84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F97001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A4A85DD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7FE75A2" w14:textId="77777777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3958E" w14:textId="77777777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76BD29EC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FE2B8F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D558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D558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2D5586" w:rsidRPr="002D5586" w14:paraId="76B4F95C" w14:textId="77777777" w:rsidTr="00DE6957">
        <w:tc>
          <w:tcPr>
            <w:tcW w:w="1701" w:type="dxa"/>
            <w:shd w:val="clear" w:color="auto" w:fill="auto"/>
          </w:tcPr>
          <w:p w14:paraId="1ED9EB49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6984B4EA" w14:textId="77777777" w:rsidTr="00DE6957">
              <w:tc>
                <w:tcPr>
                  <w:tcW w:w="6969" w:type="dxa"/>
                </w:tcPr>
                <w:p w14:paraId="29241D4C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380779C1" w14:textId="77777777" w:rsidTr="00DE6957">
              <w:tc>
                <w:tcPr>
                  <w:tcW w:w="6969" w:type="dxa"/>
                </w:tcPr>
                <w:p w14:paraId="231D59B7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11D6A467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26DBB3D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D5586" w:rsidRPr="002D5586" w14:paraId="4644DC78" w14:textId="77777777" w:rsidTr="00DE6957">
        <w:tc>
          <w:tcPr>
            <w:tcW w:w="1701" w:type="dxa"/>
            <w:shd w:val="clear" w:color="auto" w:fill="auto"/>
          </w:tcPr>
          <w:p w14:paraId="17CF3556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78106DED" w14:textId="77777777" w:rsidTr="00DE6957">
              <w:tc>
                <w:tcPr>
                  <w:tcW w:w="6969" w:type="dxa"/>
                </w:tcPr>
                <w:p w14:paraId="033DE1E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641CE4C5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2956057A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3815666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D558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3DC520F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5586" w:rsidRPr="002D5586" w14:paraId="1A7A035A" w14:textId="77777777" w:rsidTr="00DE6957">
        <w:tc>
          <w:tcPr>
            <w:tcW w:w="1701" w:type="dxa"/>
            <w:shd w:val="clear" w:color="auto" w:fill="auto"/>
          </w:tcPr>
          <w:p w14:paraId="5ACACB52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D558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28F4F998" w14:textId="77777777" w:rsidTr="00DE6957">
              <w:tc>
                <w:tcPr>
                  <w:tcW w:w="6969" w:type="dxa"/>
                </w:tcPr>
                <w:p w14:paraId="30E6FFED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0BFEF008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9181588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E4B0C6A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D5586">
              <w:rPr>
                <w:rFonts w:ascii="Verdana" w:hAnsi="Verdana"/>
                <w:sz w:val="20"/>
                <w:szCs w:val="20"/>
              </w:rPr>
              <w:t>ОГРНИП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10D8765D" w14:textId="77777777" w:rsidTr="00DE6957">
              <w:tc>
                <w:tcPr>
                  <w:tcW w:w="6969" w:type="dxa"/>
                </w:tcPr>
                <w:p w14:paraId="3028307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7D531EA0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B41908C" w14:textId="752E0252" w:rsidR="00DE6957" w:rsidRPr="002D5586" w:rsidRDefault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8CAE32C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930E88" w14:textId="77777777" w:rsidR="00947A1A" w:rsidRPr="00011811" w:rsidRDefault="00947A1A" w:rsidP="002D5586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5DF4A9E" w14:textId="466486C5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23E6EB4" w14:textId="38D0D122" w:rsidR="002D5586" w:rsidRPr="0061345C" w:rsidRDefault="002D5586" w:rsidP="00011811">
      <w:pPr>
        <w:pStyle w:val="a5"/>
        <w:widowControl w:val="0"/>
        <w:numPr>
          <w:ilvl w:val="0"/>
          <w:numId w:val="37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61345C">
        <w:rPr>
          <w:rFonts w:ascii="Verdana" w:hAnsi="Verdana"/>
        </w:rPr>
        <w:t>В соответствии с Договором купли-продажи недвижимого имущества от «____»</w:t>
      </w:r>
      <w:r w:rsidR="0061345C">
        <w:rPr>
          <w:rFonts w:ascii="Verdana" w:hAnsi="Verdana"/>
        </w:rPr>
        <w:t xml:space="preserve"> </w:t>
      </w:r>
      <w:r w:rsidRPr="0061345C">
        <w:rPr>
          <w:rFonts w:ascii="Verdana" w:hAnsi="Verdana"/>
        </w:rPr>
        <w:t xml:space="preserve">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124B1EBA" w14:textId="6B8A147C" w:rsidR="00374340" w:rsidRDefault="00C55C42" w:rsidP="000B11DF">
      <w:pPr>
        <w:pStyle w:val="a5"/>
        <w:tabs>
          <w:tab w:val="left" w:pos="426"/>
        </w:tabs>
        <w:ind w:left="0"/>
        <w:jc w:val="both"/>
        <w:rPr>
          <w:rFonts w:ascii="Verdana" w:hAnsi="Verdana" w:cs="Arial"/>
        </w:rPr>
      </w:pPr>
      <w:r w:rsidRPr="0061345C">
        <w:rPr>
          <w:rFonts w:ascii="Verdana" w:hAnsi="Verdana"/>
          <w:color w:val="000000" w:themeColor="text1"/>
        </w:rPr>
        <w:t xml:space="preserve">1.1. </w:t>
      </w:r>
      <w:r w:rsidR="00374340" w:rsidRPr="00FF7586">
        <w:rPr>
          <w:rFonts w:ascii="Verdana" w:hAnsi="Verdana"/>
          <w:color w:val="000000" w:themeColor="text1"/>
        </w:rPr>
        <w:t>Нежилое здание</w:t>
      </w:r>
      <w:r w:rsidR="00374340">
        <w:rPr>
          <w:rFonts w:ascii="Verdana" w:hAnsi="Verdana"/>
          <w:color w:val="000000" w:themeColor="text1"/>
        </w:rPr>
        <w:t xml:space="preserve"> конторы</w:t>
      </w:r>
      <w:r w:rsidR="00374340" w:rsidRPr="00FF7586">
        <w:rPr>
          <w:rFonts w:ascii="Verdana" w:hAnsi="Verdana"/>
          <w:color w:val="000000" w:themeColor="text1"/>
        </w:rPr>
        <w:t xml:space="preserve">, общей площадью </w:t>
      </w:r>
      <w:r w:rsidR="00374340">
        <w:rPr>
          <w:rFonts w:ascii="Verdana" w:hAnsi="Verdana"/>
          <w:color w:val="000000" w:themeColor="text1"/>
        </w:rPr>
        <w:t>594</w:t>
      </w:r>
      <w:r w:rsidR="00374340" w:rsidRPr="00FF7586">
        <w:rPr>
          <w:rFonts w:ascii="Verdana" w:hAnsi="Verdana"/>
          <w:color w:val="000000" w:themeColor="text1"/>
        </w:rPr>
        <w:t>,</w:t>
      </w:r>
      <w:r w:rsidR="00374340">
        <w:rPr>
          <w:rFonts w:ascii="Verdana" w:hAnsi="Verdana"/>
          <w:color w:val="000000" w:themeColor="text1"/>
        </w:rPr>
        <w:t>4</w:t>
      </w:r>
      <w:r w:rsidR="00374340" w:rsidRPr="00FF7586">
        <w:rPr>
          <w:rFonts w:ascii="Verdana" w:hAnsi="Verdana"/>
          <w:color w:val="000000" w:themeColor="text1"/>
        </w:rPr>
        <w:t xml:space="preserve"> кв. м. </w:t>
      </w:r>
      <w:r w:rsidR="00374340">
        <w:rPr>
          <w:rFonts w:ascii="Verdana" w:hAnsi="Verdana"/>
          <w:color w:val="000000" w:themeColor="text1"/>
        </w:rPr>
        <w:t>находящееся</w:t>
      </w:r>
      <w:r w:rsidR="00374340" w:rsidRPr="00FF7586">
        <w:rPr>
          <w:rFonts w:ascii="Verdana" w:hAnsi="Verdana"/>
          <w:color w:val="000000" w:themeColor="text1"/>
        </w:rPr>
        <w:t xml:space="preserve"> </w:t>
      </w:r>
      <w:r w:rsidR="00374340">
        <w:rPr>
          <w:rFonts w:ascii="Verdana" w:hAnsi="Verdana"/>
          <w:color w:val="000000" w:themeColor="text1"/>
        </w:rPr>
        <w:t xml:space="preserve">по адресу: Красноярский край, </w:t>
      </w:r>
      <w:r w:rsidR="00374340" w:rsidRPr="00CC0059">
        <w:rPr>
          <w:rFonts w:ascii="Verdana" w:hAnsi="Verdana"/>
          <w:color w:val="000000" w:themeColor="text1"/>
        </w:rPr>
        <w:t>г. Канск, ул. Шабалина, д.40/1</w:t>
      </w:r>
      <w:r w:rsidR="00374340">
        <w:rPr>
          <w:rFonts w:ascii="Verdana" w:hAnsi="Verdana"/>
          <w:color w:val="000000" w:themeColor="text1"/>
        </w:rPr>
        <w:t xml:space="preserve">. </w:t>
      </w:r>
      <w:r w:rsidR="00374340" w:rsidRPr="00FF7586">
        <w:rPr>
          <w:rFonts w:ascii="Verdana" w:hAnsi="Verdana"/>
          <w:color w:val="000000" w:themeColor="text1"/>
        </w:rPr>
        <w:t xml:space="preserve">КН: </w:t>
      </w:r>
      <w:r w:rsidR="00374340" w:rsidRPr="00CC0059">
        <w:rPr>
          <w:rFonts w:ascii="Verdana" w:hAnsi="Verdana"/>
          <w:color w:val="000000" w:themeColor="text1"/>
        </w:rPr>
        <w:t>24:51:0000000:4452</w:t>
      </w:r>
      <w:r w:rsidR="00374340">
        <w:rPr>
          <w:rFonts w:ascii="Verdana" w:hAnsi="Verdana"/>
          <w:color w:val="000000" w:themeColor="text1"/>
        </w:rPr>
        <w:t>;</w:t>
      </w:r>
      <w:r w:rsidR="00374340" w:rsidRPr="00FF7586">
        <w:rPr>
          <w:rFonts w:ascii="Verdana" w:hAnsi="Verdana" w:cs="Arial"/>
        </w:rPr>
        <w:t xml:space="preserve"> </w:t>
      </w:r>
    </w:p>
    <w:p w14:paraId="66E68662" w14:textId="6690CF0E" w:rsidR="00374340" w:rsidRDefault="00374340" w:rsidP="000B11DF">
      <w:pPr>
        <w:pStyle w:val="a5"/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котельной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129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9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стр.2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4;</w:t>
      </w:r>
      <w:r w:rsidRPr="00FF7586">
        <w:rPr>
          <w:rFonts w:ascii="Verdana" w:hAnsi="Verdana" w:cs="Arial"/>
        </w:rPr>
        <w:t xml:space="preserve"> </w:t>
      </w:r>
    </w:p>
    <w:p w14:paraId="34BE3C03" w14:textId="3B34C91E" w:rsidR="00374340" w:rsidRDefault="00374340" w:rsidP="000B11DF">
      <w:pPr>
        <w:pStyle w:val="a5"/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электроцеха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45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5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 3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5;</w:t>
      </w:r>
      <w:r w:rsidRPr="00FF7586">
        <w:rPr>
          <w:rFonts w:ascii="Verdana" w:hAnsi="Verdana" w:cs="Arial"/>
        </w:rPr>
        <w:t xml:space="preserve"> </w:t>
      </w:r>
    </w:p>
    <w:p w14:paraId="011113D7" w14:textId="15DE04AF" w:rsidR="00374340" w:rsidRDefault="00374340" w:rsidP="000B11DF">
      <w:pPr>
        <w:pStyle w:val="a5"/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конторы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506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1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стр.4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6;</w:t>
      </w:r>
      <w:r w:rsidRPr="00FF7586">
        <w:rPr>
          <w:rFonts w:ascii="Verdana" w:hAnsi="Verdana" w:cs="Arial"/>
        </w:rPr>
        <w:t xml:space="preserve"> </w:t>
      </w:r>
    </w:p>
    <w:p w14:paraId="0732BCEE" w14:textId="08B28228" w:rsidR="00374340" w:rsidRDefault="00374340" w:rsidP="000B11DF">
      <w:pPr>
        <w:pStyle w:val="a5"/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проходной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11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6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 5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7;</w:t>
      </w:r>
      <w:r w:rsidRPr="00FF7586">
        <w:rPr>
          <w:rFonts w:ascii="Verdana" w:hAnsi="Verdana" w:cs="Arial"/>
        </w:rPr>
        <w:t xml:space="preserve"> </w:t>
      </w:r>
    </w:p>
    <w:p w14:paraId="4086B52D" w14:textId="7141ADFC" w:rsidR="00374340" w:rsidRDefault="00374340" w:rsidP="000B11DF">
      <w:pPr>
        <w:pStyle w:val="a5"/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склада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139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0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 6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8;</w:t>
      </w:r>
      <w:r w:rsidRPr="00FF7586">
        <w:rPr>
          <w:rFonts w:ascii="Verdana" w:hAnsi="Verdana" w:cs="Arial"/>
        </w:rPr>
        <w:t xml:space="preserve"> </w:t>
      </w:r>
    </w:p>
    <w:p w14:paraId="03CAC083" w14:textId="30130FC5" w:rsidR="00C55C42" w:rsidRDefault="00374340" w:rsidP="001E0E95">
      <w:pPr>
        <w:pStyle w:val="ConsNormal"/>
        <w:widowControl/>
        <w:numPr>
          <w:ilvl w:val="1"/>
          <w:numId w:val="37"/>
        </w:numPr>
        <w:tabs>
          <w:tab w:val="left" w:pos="0"/>
          <w:tab w:val="left" w:pos="360"/>
          <w:tab w:val="left" w:pos="426"/>
        </w:tabs>
        <w:ind w:left="0" w:right="0" w:firstLine="0"/>
        <w:jc w:val="both"/>
        <w:rPr>
          <w:rFonts w:ascii="Verdana" w:hAnsi="Verdana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гаража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Pr="00E06EAA">
        <w:rPr>
          <w:rFonts w:ascii="Verdana" w:hAnsi="Verdana"/>
          <w:color w:val="000000" w:themeColor="text1"/>
        </w:rPr>
        <w:t>1681,2</w:t>
      </w:r>
      <w:r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 xml:space="preserve">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стр.7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9</w:t>
      </w:r>
      <w:r w:rsidR="00C55C42" w:rsidRPr="00011811">
        <w:rPr>
          <w:rFonts w:ascii="Verdana" w:hAnsi="Verdana"/>
        </w:rPr>
        <w:t>.</w:t>
      </w:r>
    </w:p>
    <w:p w14:paraId="72AE8493" w14:textId="537426EA" w:rsidR="001E0E95" w:rsidRDefault="001E0E95" w:rsidP="001E0E95">
      <w:pPr>
        <w:pStyle w:val="a5"/>
        <w:numPr>
          <w:ilvl w:val="1"/>
          <w:numId w:val="39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Право аренды земельного участка, общей площадью 13 220,0 кв.м, к</w:t>
      </w:r>
      <w:r>
        <w:rPr>
          <w:rFonts w:ascii="Verdana" w:hAnsi="Verdana"/>
        </w:rPr>
        <w:t>атегория земель: з</w:t>
      </w:r>
      <w:r w:rsidRPr="00DC4F1B">
        <w:rPr>
          <w:rFonts w:ascii="Verdana" w:hAnsi="Verdana"/>
        </w:rPr>
        <w:t>емли населенных пунктов</w:t>
      </w:r>
      <w:r>
        <w:rPr>
          <w:rFonts w:ascii="Verdana" w:hAnsi="Verdana"/>
        </w:rPr>
        <w:t>; в</w:t>
      </w:r>
      <w:r w:rsidRPr="00DC4F1B">
        <w:rPr>
          <w:rFonts w:ascii="Verdana" w:hAnsi="Verdana"/>
        </w:rPr>
        <w:t>иды разрешенного использования:</w:t>
      </w:r>
      <w:r>
        <w:rPr>
          <w:rFonts w:ascii="Verdana" w:hAnsi="Verdana"/>
        </w:rPr>
        <w:t xml:space="preserve"> для производственной территории,</w:t>
      </w:r>
      <w:r w:rsidRPr="00DC4F1B">
        <w:rPr>
          <w:rFonts w:ascii="Verdana" w:hAnsi="Verdana"/>
        </w:rPr>
        <w:t xml:space="preserve"> </w:t>
      </w:r>
      <w:r>
        <w:rPr>
          <w:rFonts w:ascii="Verdana" w:hAnsi="Verdana" w:cs="Arial"/>
        </w:rPr>
        <w:t xml:space="preserve">находящегося по адресу: </w:t>
      </w:r>
      <w:r w:rsidRPr="00DC4F1B">
        <w:rPr>
          <w:rFonts w:ascii="Verdana" w:hAnsi="Verdana"/>
        </w:rPr>
        <w:t>установлено относительно ориентира, расположенного в границах участка. Почтовый адрес ориентира:</w:t>
      </w:r>
      <w:r>
        <w:rPr>
          <w:rFonts w:ascii="Verdana" w:hAnsi="Verdana"/>
        </w:rPr>
        <w:t xml:space="preserve"> Красноярский край, г. Канск, ул. Шабалина, №40/1. КН: </w:t>
      </w:r>
      <w:r w:rsidRPr="000B11DF">
        <w:rPr>
          <w:rFonts w:ascii="Verdana" w:hAnsi="Verdana" w:cstheme="minorBidi"/>
          <w:color w:val="000000" w:themeColor="text1"/>
        </w:rPr>
        <w:t>24:51:0204153:46</w:t>
      </w:r>
      <w:r>
        <w:rPr>
          <w:rFonts w:ascii="Verdana" w:hAnsi="Verdana" w:cstheme="minorBidi"/>
          <w:color w:val="000000" w:themeColor="text1"/>
        </w:rPr>
        <w:t>.</w:t>
      </w:r>
      <w:r w:rsidRPr="000B11DF">
        <w:rPr>
          <w:rFonts w:ascii="Verdana" w:hAnsi="Verdana" w:cstheme="minorBidi"/>
          <w:color w:val="000000" w:themeColor="text1"/>
        </w:rPr>
        <w:t xml:space="preserve"> </w:t>
      </w:r>
      <w:bookmarkStart w:id="0" w:name="_GoBack"/>
      <w:bookmarkEnd w:id="0"/>
    </w:p>
    <w:p w14:paraId="5DA9B076" w14:textId="77777777" w:rsidR="002D5586" w:rsidRPr="002D5586" w:rsidRDefault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45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14:paraId="51E39853" w14:textId="7F15E2D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5ABC91E" w14:textId="77777777" w:rsidR="00DE6957" w:rsidRPr="00011811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2D5586" w:rsidRPr="002D5586" w14:paraId="6B82537D" w14:textId="77777777" w:rsidTr="00DE6957">
        <w:tc>
          <w:tcPr>
            <w:tcW w:w="3004" w:type="dxa"/>
            <w:shd w:val="clear" w:color="auto" w:fill="auto"/>
          </w:tcPr>
          <w:p w14:paraId="235792DA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71A981D8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6460" w:type="dxa"/>
            <w:shd w:val="clear" w:color="auto" w:fill="auto"/>
          </w:tcPr>
          <w:p w14:paraId="0EE734B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56DDB35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235AAD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FE776E3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DC89D3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443E3AD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приема-передачи Продавец передал Покупателю комплекты ключей от недвижимого имущества в количестве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C9D521" w14:textId="77777777" w:rsidR="002D5586" w:rsidRPr="00011811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37020A10" w14:textId="5BB2A88F" w:rsidR="002D5586" w:rsidRPr="00E63B17" w:rsidRDefault="009F67D8" w:rsidP="00E63B17">
      <w:pPr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2D5586" w:rsidRPr="00E63B17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8A2A8BA" w14:textId="77777777" w:rsidR="009F67D8" w:rsidRPr="00E63B17" w:rsidRDefault="009F67D8" w:rsidP="00E63B17">
      <w:pPr>
        <w:pStyle w:val="a5"/>
        <w:numPr>
          <w:ilvl w:val="0"/>
          <w:numId w:val="22"/>
        </w:numPr>
        <w:adjustRightInd w:val="0"/>
        <w:jc w:val="both"/>
        <w:rPr>
          <w:rFonts w:ascii="Verdana" w:hAnsi="Verdana"/>
        </w:rPr>
      </w:pPr>
    </w:p>
    <w:p w14:paraId="6448CEB2" w14:textId="77777777" w:rsidR="002D5586" w:rsidRPr="00011811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521"/>
      </w:tblGrid>
      <w:tr w:rsidR="002D5586" w:rsidRPr="002D5586" w14:paraId="6A8E0EEE" w14:textId="77777777" w:rsidTr="00011811">
        <w:tc>
          <w:tcPr>
            <w:tcW w:w="3295" w:type="dxa"/>
            <w:shd w:val="clear" w:color="auto" w:fill="auto"/>
          </w:tcPr>
          <w:p w14:paraId="582E6D10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81AD5F5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6521" w:type="dxa"/>
            <w:shd w:val="clear" w:color="auto" w:fill="auto"/>
          </w:tcPr>
          <w:p w14:paraId="088ED500" w14:textId="77777777" w:rsidR="002D5586" w:rsidRPr="002D5586" w:rsidRDefault="002D5586" w:rsidP="002D5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D5586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D5586" w:rsidRPr="002D5586" w14:paraId="1A51DAFF" w14:textId="77777777" w:rsidTr="00011811">
        <w:tc>
          <w:tcPr>
            <w:tcW w:w="3295" w:type="dxa"/>
            <w:tcBorders>
              <w:bottom w:val="nil"/>
            </w:tcBorders>
            <w:shd w:val="clear" w:color="auto" w:fill="auto"/>
          </w:tcPr>
          <w:p w14:paraId="66DFA78F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D2C16C1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0F71C2FB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11093582" w14:textId="35B46337" w:rsidR="002D5586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4F0766" w14:textId="5C3F7493" w:rsidR="001E0E95" w:rsidRDefault="001E0E95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6819C6" w14:textId="0DBC742B" w:rsidR="001E0E95" w:rsidRDefault="001E0E95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C1547D" w14:textId="77777777" w:rsidR="001E0E95" w:rsidRDefault="001E0E95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2B8A4A" w14:textId="77777777" w:rsidR="00DE6957" w:rsidRPr="002D5586" w:rsidRDefault="00DE6957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5680CA" w14:textId="289E3A3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92BAAAA" w14:textId="209EDF2D" w:rsidR="00DE6957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9E4726E" w14:textId="77777777" w:rsidR="00DE6957" w:rsidRPr="002D5586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6978093" w14:textId="4FF477DB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ПРОДАВЦА:                                                         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ОТ ПОКУПАТЕЛЯ:</w:t>
      </w:r>
    </w:p>
    <w:p w14:paraId="2D2C7446" w14:textId="4166D3A5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_____________/_____________/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1345C">
      <w:pPr>
        <w:pStyle w:val="a5"/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399E74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57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11811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11811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2B047D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7ECC8522" w:rsidR="00FC6345" w:rsidRPr="008509DF" w:rsidRDefault="00FC6345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Возможна запись о залоге кредитора.</w:t>
            </w:r>
          </w:p>
        </w:tc>
      </w:tr>
    </w:tbl>
    <w:p w14:paraId="282F3AAA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highlight w:val="yellow"/>
          <w:lang w:eastAsia="ru-RU"/>
        </w:rPr>
      </w:pPr>
    </w:p>
    <w:p w14:paraId="36EA5590" w14:textId="4685FAA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380D28">
        <w:rPr>
          <w:rFonts w:ascii="Verdana" w:hAnsi="Verdana"/>
        </w:rPr>
        <w:t>.</w:t>
      </w:r>
    </w:p>
    <w:p w14:paraId="0CEAD877" w14:textId="72E3DC75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A0FFD8" w14:textId="6FF96777" w:rsidR="00B531F3" w:rsidRDefault="00C42EB6" w:rsidP="00B531F3">
      <w:pPr>
        <w:pStyle w:val="Default"/>
        <w:rPr>
          <w:sz w:val="18"/>
          <w:szCs w:val="18"/>
        </w:rPr>
      </w:pPr>
      <w:r w:rsidRPr="009217B1">
        <w:t>- Банк-эмитент по аккредитиву - из топ-</w:t>
      </w:r>
      <w:r w:rsidR="00B531F3">
        <w:t>5</w:t>
      </w:r>
      <w:r w:rsidR="00B531F3" w:rsidRPr="009217B1">
        <w:t xml:space="preserve">0 </w:t>
      </w:r>
      <w:r w:rsidRPr="009217B1">
        <w:t xml:space="preserve">по объему капитала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3"/>
      </w:tblGrid>
      <w:tr w:rsidR="00B531F3" w14:paraId="6F1F3E2C" w14:textId="77777777">
        <w:trPr>
          <w:trHeight w:val="305"/>
        </w:trPr>
        <w:tc>
          <w:tcPr>
            <w:tcW w:w="6343" w:type="dxa"/>
          </w:tcPr>
          <w:p w14:paraId="3F4FAFFC" w14:textId="77777777" w:rsidR="00B531F3" w:rsidRDefault="00B531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данным рейтингового агентства РИА Рейтинг (прим: рейтинг доступен на сайте агентства http://vid1.rian.ru/ig/ratings/banki_07_03_21</w:t>
            </w:r>
          </w:p>
        </w:tc>
      </w:tr>
    </w:tbl>
    <w:p w14:paraId="56D97E5C" w14:textId="1A185A5D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</w:p>
    <w:p w14:paraId="1C2AC267" w14:textId="2ACC6400" w:rsidR="00686D08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6A2612AB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1A7198A" w14:textId="77777777" w:rsidR="0061345C" w:rsidRPr="008509DF" w:rsidRDefault="0061345C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C67A322" w14:textId="61AAF94E" w:rsidR="00686D08" w:rsidRDefault="0061345C" w:rsidP="000118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="00686D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</w:t>
      </w:r>
      <w:r w:rsidR="00686D08"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B101F98" w14:textId="77777777" w:rsidR="0061345C" w:rsidRPr="008509DF" w:rsidRDefault="0061345C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93EECA" w14:textId="5DC42453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ПОКУПАТЕЛЯ:                        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_/_______________/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3F614804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936155" w16cid:durableId="2554BF60"/>
  <w16cid:commentId w16cid:paraId="56C5BC0C" w16cid:durableId="2554BF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14E9" w14:textId="77777777" w:rsidR="00B50CA7" w:rsidRDefault="00B50CA7" w:rsidP="00E33D4F">
      <w:pPr>
        <w:spacing w:after="0" w:line="240" w:lineRule="auto"/>
      </w:pPr>
      <w:r>
        <w:separator/>
      </w:r>
    </w:p>
  </w:endnote>
  <w:endnote w:type="continuationSeparator" w:id="0">
    <w:p w14:paraId="46FDD045" w14:textId="77777777" w:rsidR="00B50CA7" w:rsidRDefault="00B50CA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3744252" w:rsidR="00635048" w:rsidRDefault="006350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A4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635048" w:rsidRDefault="006350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239D" w14:textId="77777777" w:rsidR="00B50CA7" w:rsidRDefault="00B50CA7" w:rsidP="00E33D4F">
      <w:pPr>
        <w:spacing w:after="0" w:line="240" w:lineRule="auto"/>
      </w:pPr>
      <w:r>
        <w:separator/>
      </w:r>
    </w:p>
  </w:footnote>
  <w:footnote w:type="continuationSeparator" w:id="0">
    <w:p w14:paraId="1EE90FD7" w14:textId="77777777" w:rsidR="00B50CA7" w:rsidRDefault="00B50CA7" w:rsidP="00E33D4F">
      <w:pPr>
        <w:spacing w:after="0" w:line="240" w:lineRule="auto"/>
      </w:pPr>
      <w:r>
        <w:continuationSeparator/>
      </w:r>
    </w:p>
  </w:footnote>
  <w:footnote w:id="1">
    <w:p w14:paraId="4DA18FC6" w14:textId="77777777" w:rsidR="00635048" w:rsidRPr="00120657" w:rsidRDefault="00635048" w:rsidP="004058F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4A158B5A" w14:textId="77777777" w:rsidR="00635048" w:rsidRPr="00120657" w:rsidRDefault="00635048" w:rsidP="004058F5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635048" w:rsidRPr="00D03FB6" w:rsidRDefault="00635048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635048" w:rsidRPr="00D03FB6" w:rsidRDefault="00635048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635048" w:rsidRPr="008070A5" w:rsidRDefault="00635048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B6D"/>
    <w:multiLevelType w:val="multilevel"/>
    <w:tmpl w:val="19AA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0174C9F"/>
    <w:multiLevelType w:val="multilevel"/>
    <w:tmpl w:val="B8C6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0" w15:restartNumberingAfterBreak="0">
    <w:nsid w:val="511266A0"/>
    <w:multiLevelType w:val="multilevel"/>
    <w:tmpl w:val="9D4CEDA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5B842F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640DEF"/>
    <w:multiLevelType w:val="multilevel"/>
    <w:tmpl w:val="664850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196C83F0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05EDD7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9F65D2"/>
    <w:multiLevelType w:val="multilevel"/>
    <w:tmpl w:val="DABAAC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27"/>
  </w:num>
  <w:num w:numId="4">
    <w:abstractNumId w:val="26"/>
  </w:num>
  <w:num w:numId="5">
    <w:abstractNumId w:val="23"/>
  </w:num>
  <w:num w:numId="6">
    <w:abstractNumId w:val="13"/>
  </w:num>
  <w:num w:numId="7">
    <w:abstractNumId w:val="2"/>
  </w:num>
  <w:num w:numId="8">
    <w:abstractNumId w:val="3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8"/>
  </w:num>
  <w:num w:numId="18">
    <w:abstractNumId w:val="14"/>
  </w:num>
  <w:num w:numId="19">
    <w:abstractNumId w:val="7"/>
  </w:num>
  <w:num w:numId="20">
    <w:abstractNumId w:val="22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30"/>
  </w:num>
  <w:num w:numId="27">
    <w:abstractNumId w:val="25"/>
  </w:num>
  <w:num w:numId="28">
    <w:abstractNumId w:val="8"/>
  </w:num>
  <w:num w:numId="29">
    <w:abstractNumId w:val="36"/>
  </w:num>
  <w:num w:numId="30">
    <w:abstractNumId w:val="29"/>
  </w:num>
  <w:num w:numId="31">
    <w:abstractNumId w:val="24"/>
  </w:num>
  <w:num w:numId="32">
    <w:abstractNumId w:val="1"/>
  </w:num>
  <w:num w:numId="33">
    <w:abstractNumId w:val="21"/>
  </w:num>
  <w:num w:numId="34">
    <w:abstractNumId w:val="31"/>
  </w:num>
  <w:num w:numId="35">
    <w:abstractNumId w:val="20"/>
  </w:num>
  <w:num w:numId="36">
    <w:abstractNumId w:val="35"/>
  </w:num>
  <w:num w:numId="37">
    <w:abstractNumId w:val="19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5863"/>
    <w:rsid w:val="000066EC"/>
    <w:rsid w:val="00006CFE"/>
    <w:rsid w:val="0000709E"/>
    <w:rsid w:val="000077E3"/>
    <w:rsid w:val="00010B91"/>
    <w:rsid w:val="0001181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1245"/>
    <w:rsid w:val="00032CB8"/>
    <w:rsid w:val="000351E6"/>
    <w:rsid w:val="000365BF"/>
    <w:rsid w:val="000379B6"/>
    <w:rsid w:val="00043358"/>
    <w:rsid w:val="00044040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3271"/>
    <w:rsid w:val="000844EF"/>
    <w:rsid w:val="0008466D"/>
    <w:rsid w:val="000927FB"/>
    <w:rsid w:val="00093EDB"/>
    <w:rsid w:val="00095F3C"/>
    <w:rsid w:val="000967E9"/>
    <w:rsid w:val="000973B7"/>
    <w:rsid w:val="00097EC7"/>
    <w:rsid w:val="000A068D"/>
    <w:rsid w:val="000A0B3B"/>
    <w:rsid w:val="000A1317"/>
    <w:rsid w:val="000A3E4C"/>
    <w:rsid w:val="000B11DF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2DC3"/>
    <w:rsid w:val="000D446F"/>
    <w:rsid w:val="000D5385"/>
    <w:rsid w:val="000E2363"/>
    <w:rsid w:val="000E254A"/>
    <w:rsid w:val="000E2F36"/>
    <w:rsid w:val="000E3328"/>
    <w:rsid w:val="000E36D3"/>
    <w:rsid w:val="000E3B6C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65EF"/>
    <w:rsid w:val="000F7023"/>
    <w:rsid w:val="0010155F"/>
    <w:rsid w:val="001024FD"/>
    <w:rsid w:val="00102FE7"/>
    <w:rsid w:val="00103A3A"/>
    <w:rsid w:val="0010628D"/>
    <w:rsid w:val="00106775"/>
    <w:rsid w:val="001102D9"/>
    <w:rsid w:val="00111061"/>
    <w:rsid w:val="00114EF9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23CC"/>
    <w:rsid w:val="00144FDC"/>
    <w:rsid w:val="00150E56"/>
    <w:rsid w:val="001558BD"/>
    <w:rsid w:val="00155F3D"/>
    <w:rsid w:val="00156210"/>
    <w:rsid w:val="00156C6F"/>
    <w:rsid w:val="00162863"/>
    <w:rsid w:val="00163C1A"/>
    <w:rsid w:val="00163D0E"/>
    <w:rsid w:val="001653ED"/>
    <w:rsid w:val="00165D64"/>
    <w:rsid w:val="0016621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4E60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D1EAB"/>
    <w:rsid w:val="001D2504"/>
    <w:rsid w:val="001D3133"/>
    <w:rsid w:val="001D4AF6"/>
    <w:rsid w:val="001D5993"/>
    <w:rsid w:val="001D6B8E"/>
    <w:rsid w:val="001D6DCB"/>
    <w:rsid w:val="001D72DA"/>
    <w:rsid w:val="001D7929"/>
    <w:rsid w:val="001E086C"/>
    <w:rsid w:val="001E0CB7"/>
    <w:rsid w:val="001E0E95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595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5586"/>
    <w:rsid w:val="002D6941"/>
    <w:rsid w:val="002D7220"/>
    <w:rsid w:val="002D77F1"/>
    <w:rsid w:val="002D7CAB"/>
    <w:rsid w:val="002E0C29"/>
    <w:rsid w:val="002E11AE"/>
    <w:rsid w:val="002E1D94"/>
    <w:rsid w:val="002E48FE"/>
    <w:rsid w:val="002E7916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152A4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465C6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74340"/>
    <w:rsid w:val="0037722D"/>
    <w:rsid w:val="00380D28"/>
    <w:rsid w:val="00381D74"/>
    <w:rsid w:val="00386377"/>
    <w:rsid w:val="00387FA5"/>
    <w:rsid w:val="00390A4F"/>
    <w:rsid w:val="00391481"/>
    <w:rsid w:val="00391E62"/>
    <w:rsid w:val="003961EC"/>
    <w:rsid w:val="003963EB"/>
    <w:rsid w:val="00396B39"/>
    <w:rsid w:val="003A1B23"/>
    <w:rsid w:val="003A36C1"/>
    <w:rsid w:val="003A3708"/>
    <w:rsid w:val="003A505E"/>
    <w:rsid w:val="003B025F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3E2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058F5"/>
    <w:rsid w:val="004108AE"/>
    <w:rsid w:val="00410A63"/>
    <w:rsid w:val="00412CEA"/>
    <w:rsid w:val="00412FD9"/>
    <w:rsid w:val="0041301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6B81"/>
    <w:rsid w:val="004271B3"/>
    <w:rsid w:val="004302F2"/>
    <w:rsid w:val="004305AA"/>
    <w:rsid w:val="00433FB9"/>
    <w:rsid w:val="00434C82"/>
    <w:rsid w:val="00440A77"/>
    <w:rsid w:val="00441B3B"/>
    <w:rsid w:val="00441C95"/>
    <w:rsid w:val="00444442"/>
    <w:rsid w:val="0044564A"/>
    <w:rsid w:val="00446BFD"/>
    <w:rsid w:val="0044731D"/>
    <w:rsid w:val="00450B06"/>
    <w:rsid w:val="00450B9C"/>
    <w:rsid w:val="00451A57"/>
    <w:rsid w:val="00452639"/>
    <w:rsid w:val="00453FF7"/>
    <w:rsid w:val="00456C6E"/>
    <w:rsid w:val="00457733"/>
    <w:rsid w:val="00460465"/>
    <w:rsid w:val="00460C34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3915"/>
    <w:rsid w:val="00495931"/>
    <w:rsid w:val="00496502"/>
    <w:rsid w:val="00497738"/>
    <w:rsid w:val="00497C78"/>
    <w:rsid w:val="004A321F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83F"/>
    <w:rsid w:val="004F30BF"/>
    <w:rsid w:val="004F3E62"/>
    <w:rsid w:val="004F4362"/>
    <w:rsid w:val="004F51F2"/>
    <w:rsid w:val="004F68CD"/>
    <w:rsid w:val="0050116F"/>
    <w:rsid w:val="00504D4E"/>
    <w:rsid w:val="00506D9A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7346"/>
    <w:rsid w:val="005403C6"/>
    <w:rsid w:val="0054117F"/>
    <w:rsid w:val="00542717"/>
    <w:rsid w:val="0054280C"/>
    <w:rsid w:val="00545918"/>
    <w:rsid w:val="00545F3F"/>
    <w:rsid w:val="00551207"/>
    <w:rsid w:val="0055535E"/>
    <w:rsid w:val="0055668A"/>
    <w:rsid w:val="0055725C"/>
    <w:rsid w:val="00560ADF"/>
    <w:rsid w:val="00560E89"/>
    <w:rsid w:val="00562169"/>
    <w:rsid w:val="00562322"/>
    <w:rsid w:val="005637CC"/>
    <w:rsid w:val="005669A4"/>
    <w:rsid w:val="005702F1"/>
    <w:rsid w:val="00572946"/>
    <w:rsid w:val="00572BA2"/>
    <w:rsid w:val="00572C9D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263"/>
    <w:rsid w:val="005A7DCA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220F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1788"/>
    <w:rsid w:val="0061345C"/>
    <w:rsid w:val="0061442D"/>
    <w:rsid w:val="00615599"/>
    <w:rsid w:val="00617D5E"/>
    <w:rsid w:val="00624775"/>
    <w:rsid w:val="00624B6E"/>
    <w:rsid w:val="00631799"/>
    <w:rsid w:val="0063393C"/>
    <w:rsid w:val="00633CF9"/>
    <w:rsid w:val="00634B19"/>
    <w:rsid w:val="00635048"/>
    <w:rsid w:val="00640CE7"/>
    <w:rsid w:val="00641589"/>
    <w:rsid w:val="00645BF6"/>
    <w:rsid w:val="00646D39"/>
    <w:rsid w:val="00652999"/>
    <w:rsid w:val="00652F0C"/>
    <w:rsid w:val="0065596F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C4F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6F77DF"/>
    <w:rsid w:val="00700B2D"/>
    <w:rsid w:val="00700BD4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3D"/>
    <w:rsid w:val="00734FF4"/>
    <w:rsid w:val="00735771"/>
    <w:rsid w:val="00737A93"/>
    <w:rsid w:val="00737CDB"/>
    <w:rsid w:val="007411C4"/>
    <w:rsid w:val="00744679"/>
    <w:rsid w:val="00747C28"/>
    <w:rsid w:val="007504AE"/>
    <w:rsid w:val="007511DF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4437"/>
    <w:rsid w:val="00764972"/>
    <w:rsid w:val="0076568D"/>
    <w:rsid w:val="00765721"/>
    <w:rsid w:val="00770228"/>
    <w:rsid w:val="007704CD"/>
    <w:rsid w:val="00773D72"/>
    <w:rsid w:val="00775AF0"/>
    <w:rsid w:val="00777781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0E06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3BB6"/>
    <w:rsid w:val="008070A5"/>
    <w:rsid w:val="008076AD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2D7A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514"/>
    <w:rsid w:val="008759BE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5F0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A0C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37E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A1A"/>
    <w:rsid w:val="0095195D"/>
    <w:rsid w:val="00952105"/>
    <w:rsid w:val="009564FC"/>
    <w:rsid w:val="0095727C"/>
    <w:rsid w:val="0096008A"/>
    <w:rsid w:val="009604C2"/>
    <w:rsid w:val="00961052"/>
    <w:rsid w:val="00966EC8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92E56"/>
    <w:rsid w:val="00996767"/>
    <w:rsid w:val="0099685B"/>
    <w:rsid w:val="009A10B7"/>
    <w:rsid w:val="009A165A"/>
    <w:rsid w:val="009A2207"/>
    <w:rsid w:val="009A27DC"/>
    <w:rsid w:val="009A49D7"/>
    <w:rsid w:val="009A5D85"/>
    <w:rsid w:val="009B08DD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E88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67D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604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179F"/>
    <w:rsid w:val="00AA21AE"/>
    <w:rsid w:val="00AA292C"/>
    <w:rsid w:val="00AA34C1"/>
    <w:rsid w:val="00AA37AD"/>
    <w:rsid w:val="00AA3E1A"/>
    <w:rsid w:val="00AA6498"/>
    <w:rsid w:val="00AA768F"/>
    <w:rsid w:val="00AA792A"/>
    <w:rsid w:val="00AA7E35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5974"/>
    <w:rsid w:val="00B012C3"/>
    <w:rsid w:val="00B01E0E"/>
    <w:rsid w:val="00B0310E"/>
    <w:rsid w:val="00B03BF7"/>
    <w:rsid w:val="00B04710"/>
    <w:rsid w:val="00B04B86"/>
    <w:rsid w:val="00B0523F"/>
    <w:rsid w:val="00B0731A"/>
    <w:rsid w:val="00B12FEC"/>
    <w:rsid w:val="00B13C17"/>
    <w:rsid w:val="00B13DF5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50CA7"/>
    <w:rsid w:val="00B51299"/>
    <w:rsid w:val="00B52CBF"/>
    <w:rsid w:val="00B531F3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3F09"/>
    <w:rsid w:val="00B86386"/>
    <w:rsid w:val="00B87012"/>
    <w:rsid w:val="00B87B84"/>
    <w:rsid w:val="00B92212"/>
    <w:rsid w:val="00B932DF"/>
    <w:rsid w:val="00B94590"/>
    <w:rsid w:val="00BA0264"/>
    <w:rsid w:val="00BA02B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129"/>
    <w:rsid w:val="00C05441"/>
    <w:rsid w:val="00C069BE"/>
    <w:rsid w:val="00C06D1F"/>
    <w:rsid w:val="00C108FF"/>
    <w:rsid w:val="00C11257"/>
    <w:rsid w:val="00C13A7C"/>
    <w:rsid w:val="00C14F0A"/>
    <w:rsid w:val="00C15BF4"/>
    <w:rsid w:val="00C1613D"/>
    <w:rsid w:val="00C21632"/>
    <w:rsid w:val="00C26C43"/>
    <w:rsid w:val="00C31E01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4C9A"/>
    <w:rsid w:val="00C467C8"/>
    <w:rsid w:val="00C467F6"/>
    <w:rsid w:val="00C469B7"/>
    <w:rsid w:val="00C470CB"/>
    <w:rsid w:val="00C5074C"/>
    <w:rsid w:val="00C5372D"/>
    <w:rsid w:val="00C55B7E"/>
    <w:rsid w:val="00C55C42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77CB8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1EC6"/>
    <w:rsid w:val="00CA44E1"/>
    <w:rsid w:val="00CA4862"/>
    <w:rsid w:val="00CA5B8C"/>
    <w:rsid w:val="00CA695D"/>
    <w:rsid w:val="00CA7807"/>
    <w:rsid w:val="00CB0CB0"/>
    <w:rsid w:val="00CB1ACC"/>
    <w:rsid w:val="00CB35C9"/>
    <w:rsid w:val="00CB3911"/>
    <w:rsid w:val="00CB3942"/>
    <w:rsid w:val="00CB6567"/>
    <w:rsid w:val="00CB6D2E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8C4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038C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435B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576F7"/>
    <w:rsid w:val="00D61656"/>
    <w:rsid w:val="00D61C32"/>
    <w:rsid w:val="00D63638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32C"/>
    <w:rsid w:val="00D767BD"/>
    <w:rsid w:val="00D8208F"/>
    <w:rsid w:val="00D822B6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2EE5"/>
    <w:rsid w:val="00DA5B8B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E6957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3E74"/>
    <w:rsid w:val="00E15BBC"/>
    <w:rsid w:val="00E212C6"/>
    <w:rsid w:val="00E214EB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1211"/>
    <w:rsid w:val="00E43F78"/>
    <w:rsid w:val="00E44495"/>
    <w:rsid w:val="00E465F9"/>
    <w:rsid w:val="00E469B6"/>
    <w:rsid w:val="00E50B7F"/>
    <w:rsid w:val="00E5228B"/>
    <w:rsid w:val="00E52BEC"/>
    <w:rsid w:val="00E57A0D"/>
    <w:rsid w:val="00E61700"/>
    <w:rsid w:val="00E62AAB"/>
    <w:rsid w:val="00E63B17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3CF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4F04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0B5A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331C"/>
    <w:rsid w:val="00F83381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C6345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62F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2D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ACCB-D6F9-4661-8B65-A5EA8C75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Блохин Юрий Владимирович</cp:lastModifiedBy>
  <cp:revision>6</cp:revision>
  <cp:lastPrinted>2019-10-21T13:14:00Z</cp:lastPrinted>
  <dcterms:created xsi:type="dcterms:W3CDTF">2021-12-07T11:54:00Z</dcterms:created>
  <dcterms:modified xsi:type="dcterms:W3CDTF">2021-12-09T14:18:00Z</dcterms:modified>
</cp:coreProperties>
</file>