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7A30" w14:textId="77777777" w:rsidR="005C0036" w:rsidRPr="00B923C4" w:rsidRDefault="005C0036" w:rsidP="005C0036">
      <w:pPr>
        <w:pStyle w:val="a3"/>
        <w:rPr>
          <w:sz w:val="22"/>
          <w:szCs w:val="22"/>
        </w:rPr>
      </w:pPr>
      <w:r w:rsidRPr="00B923C4">
        <w:rPr>
          <w:sz w:val="22"/>
          <w:szCs w:val="22"/>
        </w:rPr>
        <w:t>Договор о задатке №____</w:t>
      </w:r>
    </w:p>
    <w:p w14:paraId="52F76DC3" w14:textId="77777777" w:rsidR="005C0036" w:rsidRPr="00B923C4" w:rsidRDefault="005C0036" w:rsidP="005C0036">
      <w:pPr>
        <w:pStyle w:val="a3"/>
        <w:rPr>
          <w:b w:val="0"/>
          <w:bCs w:val="0"/>
          <w:spacing w:val="30"/>
          <w:sz w:val="22"/>
          <w:szCs w:val="22"/>
        </w:rPr>
      </w:pPr>
      <w:r w:rsidRPr="00B923C4">
        <w:rPr>
          <w:b w:val="0"/>
          <w:bCs w:val="0"/>
          <w:spacing w:val="30"/>
          <w:sz w:val="22"/>
          <w:szCs w:val="22"/>
        </w:rPr>
        <w:t>(договор присоединения)</w:t>
      </w:r>
    </w:p>
    <w:p w14:paraId="793AA203" w14:textId="77777777" w:rsidR="005C0036" w:rsidRPr="00B923C4" w:rsidRDefault="005C0036" w:rsidP="005C0036">
      <w:pPr>
        <w:pStyle w:val="a3"/>
        <w:rPr>
          <w:b w:val="0"/>
          <w:bCs w:val="0"/>
          <w:spacing w:val="30"/>
          <w:sz w:val="22"/>
          <w:szCs w:val="22"/>
        </w:rPr>
      </w:pPr>
    </w:p>
    <w:p w14:paraId="71B2A949" w14:textId="3D14E68F" w:rsidR="00BE0B9B" w:rsidRPr="00BE0B9B" w:rsidRDefault="005C0036" w:rsidP="00BE0B9B">
      <w:pPr>
        <w:autoSpaceDE w:val="0"/>
        <w:autoSpaceDN w:val="0"/>
        <w:adjustRightInd w:val="0"/>
        <w:ind w:firstLine="709"/>
        <w:jc w:val="both"/>
        <w:rPr>
          <w:sz w:val="22"/>
          <w:szCs w:val="22"/>
        </w:rPr>
      </w:pPr>
      <w:r w:rsidRPr="00B923C4">
        <w:rPr>
          <w:b/>
          <w:sz w:val="22"/>
          <w:szCs w:val="22"/>
        </w:rPr>
        <w:t>Акционерное общество «Российский аукционный дом»,</w:t>
      </w:r>
      <w:r w:rsidRPr="00B923C4">
        <w:rPr>
          <w:sz w:val="22"/>
          <w:szCs w:val="22"/>
        </w:rPr>
        <w:t xml:space="preserve"> именуемое в дальнейшем </w:t>
      </w:r>
      <w:r w:rsidRPr="00B923C4">
        <w:rPr>
          <w:b/>
          <w:sz w:val="22"/>
          <w:szCs w:val="22"/>
        </w:rPr>
        <w:t>«Организатор торгов»,</w:t>
      </w:r>
      <w:r w:rsidRPr="00B923C4">
        <w:rPr>
          <w:sz w:val="22"/>
          <w:szCs w:val="22"/>
        </w:rPr>
        <w:t xml:space="preserve"> в лице директора Дальневосточного филиала АО «</w:t>
      </w:r>
      <w:r w:rsidRPr="00BE0B9B">
        <w:rPr>
          <w:sz w:val="22"/>
          <w:szCs w:val="22"/>
        </w:rPr>
        <w:t>Российский аукционный дом» Пурикова Дмитрия Вячеславовича, действующего на основании доверенности № Д-</w:t>
      </w:r>
      <w:r w:rsidR="00CD080B" w:rsidRPr="00BE0B9B">
        <w:rPr>
          <w:sz w:val="22"/>
          <w:szCs w:val="22"/>
        </w:rPr>
        <w:t>025</w:t>
      </w:r>
      <w:r w:rsidRPr="00BE0B9B">
        <w:rPr>
          <w:sz w:val="22"/>
          <w:szCs w:val="22"/>
        </w:rPr>
        <w:t xml:space="preserve"> от </w:t>
      </w:r>
      <w:r w:rsidR="00CD080B" w:rsidRPr="00BE0B9B">
        <w:rPr>
          <w:sz w:val="22"/>
          <w:szCs w:val="22"/>
        </w:rPr>
        <w:t>0</w:t>
      </w:r>
      <w:r w:rsidRPr="00BE0B9B">
        <w:rPr>
          <w:sz w:val="22"/>
          <w:szCs w:val="22"/>
        </w:rPr>
        <w:t>1.01.202</w:t>
      </w:r>
      <w:r w:rsidR="00CD080B" w:rsidRPr="00BE0B9B">
        <w:rPr>
          <w:sz w:val="22"/>
          <w:szCs w:val="22"/>
        </w:rPr>
        <w:t>2</w:t>
      </w:r>
      <w:r w:rsidRPr="00BE0B9B">
        <w:rPr>
          <w:sz w:val="22"/>
          <w:szCs w:val="22"/>
        </w:rPr>
        <w:t>г.</w:t>
      </w:r>
      <w:r w:rsidRPr="00BE0B9B">
        <w:rPr>
          <w:rStyle w:val="a9"/>
          <w:b w:val="0"/>
          <w:sz w:val="22"/>
          <w:szCs w:val="22"/>
        </w:rPr>
        <w:t>,</w:t>
      </w:r>
      <w:r w:rsidRPr="00BE0B9B">
        <w:rPr>
          <w:rStyle w:val="a9"/>
          <w:sz w:val="22"/>
          <w:szCs w:val="22"/>
        </w:rPr>
        <w:t xml:space="preserve"> </w:t>
      </w:r>
      <w:r w:rsidRPr="00BE0B9B">
        <w:rPr>
          <w:sz w:val="22"/>
          <w:szCs w:val="22"/>
        </w:rPr>
        <w:t xml:space="preserve">и на основании договора </w:t>
      </w:r>
      <w:r w:rsidR="0024536D" w:rsidRPr="00BE0B9B">
        <w:rPr>
          <w:sz w:val="22"/>
          <w:szCs w:val="22"/>
        </w:rPr>
        <w:t>поручения</w:t>
      </w:r>
      <w:r w:rsidRPr="00BE0B9B">
        <w:rPr>
          <w:sz w:val="22"/>
          <w:szCs w:val="22"/>
        </w:rPr>
        <w:t>, заключенного с</w:t>
      </w:r>
      <w:r w:rsidR="004D43AB" w:rsidRPr="00BE0B9B">
        <w:rPr>
          <w:sz w:val="22"/>
          <w:szCs w:val="22"/>
        </w:rPr>
        <w:t xml:space="preserve"> </w:t>
      </w:r>
      <w:r w:rsidR="00BE0B9B" w:rsidRPr="00BE0B9B">
        <w:rPr>
          <w:b/>
          <w:bCs/>
          <w:sz w:val="22"/>
          <w:szCs w:val="22"/>
        </w:rPr>
        <w:t>Ван</w:t>
      </w:r>
      <w:r w:rsidR="00BE0B9B" w:rsidRPr="00BE0B9B">
        <w:rPr>
          <w:b/>
          <w:bCs/>
          <w:sz w:val="22"/>
          <w:szCs w:val="22"/>
        </w:rPr>
        <w:t>ом</w:t>
      </w:r>
      <w:r w:rsidR="00BE0B9B" w:rsidRPr="00BE0B9B">
        <w:rPr>
          <w:b/>
          <w:bCs/>
          <w:sz w:val="22"/>
          <w:szCs w:val="22"/>
        </w:rPr>
        <w:t xml:space="preserve"> Роман</w:t>
      </w:r>
      <w:r w:rsidR="00BE0B9B" w:rsidRPr="00BE0B9B">
        <w:rPr>
          <w:b/>
          <w:bCs/>
          <w:sz w:val="22"/>
          <w:szCs w:val="22"/>
        </w:rPr>
        <w:t xml:space="preserve">ом </w:t>
      </w:r>
      <w:r w:rsidR="00BE0B9B" w:rsidRPr="00BE0B9B">
        <w:rPr>
          <w:b/>
          <w:bCs/>
          <w:sz w:val="22"/>
          <w:szCs w:val="22"/>
        </w:rPr>
        <w:t>Валерьевич</w:t>
      </w:r>
      <w:r w:rsidR="00BE0B9B" w:rsidRPr="00BE0B9B">
        <w:rPr>
          <w:b/>
          <w:bCs/>
          <w:sz w:val="22"/>
          <w:szCs w:val="22"/>
        </w:rPr>
        <w:t>ем</w:t>
      </w:r>
      <w:r w:rsidR="00BE0B9B" w:rsidRPr="00BE0B9B">
        <w:rPr>
          <w:sz w:val="22"/>
          <w:szCs w:val="22"/>
        </w:rPr>
        <w:t xml:space="preserve"> (дата рождения: 20.01.1979 г., место рождения:</w:t>
      </w:r>
      <w:r w:rsidR="00BE0B9B">
        <w:rPr>
          <w:sz w:val="22"/>
          <w:szCs w:val="22"/>
        </w:rPr>
        <w:t xml:space="preserve"> </w:t>
      </w:r>
      <w:r w:rsidR="00BE0B9B" w:rsidRPr="00BE0B9B">
        <w:rPr>
          <w:sz w:val="22"/>
          <w:szCs w:val="22"/>
        </w:rPr>
        <w:t>г.Хабаровск.,</w:t>
      </w:r>
      <w:r w:rsidR="00BE0B9B">
        <w:rPr>
          <w:sz w:val="22"/>
          <w:szCs w:val="22"/>
        </w:rPr>
        <w:t xml:space="preserve"> </w:t>
      </w:r>
      <w:r w:rsidR="00BE0B9B" w:rsidRPr="00BE0B9B">
        <w:rPr>
          <w:sz w:val="22"/>
          <w:szCs w:val="22"/>
        </w:rPr>
        <w:t>ИНН</w:t>
      </w:r>
      <w:r w:rsidR="00BE0B9B">
        <w:rPr>
          <w:sz w:val="22"/>
          <w:szCs w:val="22"/>
        </w:rPr>
        <w:t xml:space="preserve"> </w:t>
      </w:r>
      <w:r w:rsidR="00BE0B9B" w:rsidRPr="00BE0B9B">
        <w:rPr>
          <w:sz w:val="22"/>
          <w:szCs w:val="22"/>
        </w:rPr>
        <w:t xml:space="preserve">272109107002, СНИЛС 079-193-377 10, место проживания: 143981, Хабаровский край, г. Хабаровск, пер. Дежнева, д. 17, кв. 14), именуемый в дальнейшем </w:t>
      </w:r>
      <w:r w:rsidR="00BE0B9B" w:rsidRPr="00BE0B9B">
        <w:rPr>
          <w:b/>
          <w:bCs/>
          <w:sz w:val="22"/>
          <w:szCs w:val="22"/>
        </w:rPr>
        <w:t>«Доверитель», «Должник»</w:t>
      </w:r>
      <w:r w:rsidR="00BE0B9B" w:rsidRPr="00BE0B9B">
        <w:rPr>
          <w:sz w:val="22"/>
          <w:szCs w:val="22"/>
        </w:rPr>
        <w:t xml:space="preserve">, в лице финансового управляющего </w:t>
      </w:r>
      <w:r w:rsidR="00BE0B9B" w:rsidRPr="00BE0B9B">
        <w:rPr>
          <w:b/>
          <w:bCs/>
          <w:sz w:val="22"/>
          <w:szCs w:val="22"/>
        </w:rPr>
        <w:t>Сапожниковой Юлии Дмитриевны</w:t>
      </w:r>
      <w:r w:rsidR="00BE0B9B" w:rsidRPr="00BE0B9B">
        <w:rPr>
          <w:sz w:val="22"/>
          <w:szCs w:val="22"/>
        </w:rPr>
        <w:t xml:space="preserve"> (ИНН 272405659878, СНИЛС 178-985-442 55, рег. номер: 20529, адрес для корреспонденции: 680007, край Хабаровский, г. Хабаровск, ул. Оборонная, д. 7, а/я 505) - член Ассоциация "ДМСО" - Ассоциация "Дальневосточная межрегиональная саморегулируемая организация профессиональных арбитражных управляющих" (680020, Хабаровский край, г. Хабаровск, пер. Доступный, д. 13, оф. 6, ОГРН 1032700295099, ИНН 2721099166), действующего на основании Решения Арбитражного суда Хабаровского края от 16.12.2021 года по делу №</w:t>
      </w:r>
      <w:r w:rsidR="00BE0B9B" w:rsidRPr="00BE0B9B">
        <w:rPr>
          <w:b/>
          <w:bCs/>
          <w:sz w:val="22"/>
          <w:szCs w:val="22"/>
        </w:rPr>
        <w:t>А73-18209/2021</w:t>
      </w:r>
      <w:r w:rsidR="00BE0B9B" w:rsidRPr="00BE0B9B">
        <w:rPr>
          <w:sz w:val="22"/>
          <w:szCs w:val="22"/>
        </w:rPr>
        <w:t xml:space="preserve"> (далее – Финансовый управляющий),</w:t>
      </w:r>
      <w:r w:rsidR="00BE0B9B" w:rsidRPr="00BE0B9B">
        <w:rPr>
          <w:sz w:val="22"/>
          <w:szCs w:val="22"/>
        </w:rPr>
        <w:t xml:space="preserve"> </w:t>
      </w:r>
      <w:r w:rsidR="00BE0B9B" w:rsidRPr="006A0C46">
        <w:rPr>
          <w:sz w:val="22"/>
          <w:szCs w:val="22"/>
        </w:rPr>
        <w:t>с одной стороны</w:t>
      </w:r>
      <w:r w:rsidR="00BE0B9B" w:rsidRPr="0024536D">
        <w:rPr>
          <w:sz w:val="22"/>
          <w:szCs w:val="22"/>
        </w:rPr>
        <w:t xml:space="preserve">,    </w:t>
      </w:r>
    </w:p>
    <w:p w14:paraId="43558E3A" w14:textId="77777777" w:rsidR="00BE0B9B" w:rsidRDefault="00BE0B9B" w:rsidP="004D43AB">
      <w:pPr>
        <w:autoSpaceDE w:val="0"/>
        <w:autoSpaceDN w:val="0"/>
        <w:adjustRightInd w:val="0"/>
        <w:ind w:firstLine="709"/>
        <w:jc w:val="both"/>
        <w:rPr>
          <w:sz w:val="22"/>
          <w:szCs w:val="22"/>
        </w:rPr>
      </w:pPr>
    </w:p>
    <w:p w14:paraId="59663491" w14:textId="0C9441E3" w:rsidR="005C0036" w:rsidRPr="00B923C4" w:rsidRDefault="005C0036" w:rsidP="005C0036">
      <w:pPr>
        <w:ind w:firstLine="567"/>
        <w:jc w:val="both"/>
        <w:rPr>
          <w:sz w:val="22"/>
          <w:szCs w:val="22"/>
        </w:rPr>
      </w:pPr>
      <w:r w:rsidRPr="00B923C4">
        <w:rPr>
          <w:rFonts w:eastAsia="Calibri"/>
          <w:bCs/>
          <w:noProof/>
          <w:color w:val="auto"/>
          <w:kern w:val="1"/>
          <w:sz w:val="22"/>
          <w:szCs w:val="22"/>
          <w:lang w:eastAsia="ar-SA"/>
        </w:rPr>
        <w:t>и</w:t>
      </w:r>
      <w:r w:rsidRPr="00B923C4" w:rsidDel="00CB1705">
        <w:rPr>
          <w:rFonts w:eastAsia="Calibri"/>
          <w:bCs/>
          <w:noProof/>
          <w:color w:val="auto"/>
          <w:kern w:val="1"/>
          <w:sz w:val="22"/>
          <w:szCs w:val="22"/>
          <w:lang w:eastAsia="ar-SA"/>
        </w:rPr>
        <w:t xml:space="preserve"> </w:t>
      </w:r>
      <w:r w:rsidRPr="00B923C4">
        <w:rPr>
          <w:b/>
          <w:sz w:val="22"/>
          <w:szCs w:val="22"/>
        </w:rPr>
        <w:t xml:space="preserve">претендент </w:t>
      </w:r>
      <w:r w:rsidRPr="00B923C4">
        <w:rPr>
          <w:sz w:val="22"/>
          <w:szCs w:val="22"/>
        </w:rPr>
        <w:t>на участие в торгах по продаже Имущества в ходе процедуры банкротства:</w:t>
      </w:r>
    </w:p>
    <w:p w14:paraId="40FB72AC" w14:textId="77777777" w:rsidR="005C0036" w:rsidRPr="00B923C4" w:rsidRDefault="005C0036" w:rsidP="005C0036">
      <w:pPr>
        <w:jc w:val="both"/>
        <w:rPr>
          <w:sz w:val="22"/>
          <w:szCs w:val="22"/>
        </w:rPr>
      </w:pPr>
      <w:r w:rsidRPr="00B923C4">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 присоединившийся к настоящему Договору, именуемый в дальнейшем </w:t>
      </w:r>
      <w:r w:rsidRPr="00B923C4">
        <w:rPr>
          <w:b/>
          <w:sz w:val="22"/>
          <w:szCs w:val="22"/>
        </w:rPr>
        <w:t>«Претендент»,</w:t>
      </w:r>
      <w:r w:rsidRPr="00B923C4">
        <w:rPr>
          <w:sz w:val="22"/>
          <w:szCs w:val="22"/>
        </w:rPr>
        <w:t xml:space="preserve"> с другой стороны, в соответствии с требованиями ст.ст.380, 381, 428 ГК РФ, заключили настоящий Договор (далее – Договор) о нижеследующем:</w:t>
      </w:r>
    </w:p>
    <w:p w14:paraId="096AFBB7" w14:textId="77777777" w:rsidR="005C0036" w:rsidRPr="00B923C4" w:rsidRDefault="005C0036" w:rsidP="005C0036">
      <w:pPr>
        <w:tabs>
          <w:tab w:val="left" w:pos="1134"/>
        </w:tabs>
        <w:ind w:right="-57" w:firstLine="567"/>
        <w:jc w:val="both"/>
        <w:rPr>
          <w:sz w:val="22"/>
          <w:szCs w:val="22"/>
        </w:rPr>
      </w:pPr>
      <w:r w:rsidRPr="00B923C4">
        <w:rPr>
          <w:color w:val="auto"/>
          <w:sz w:val="22"/>
          <w:szCs w:val="22"/>
        </w:rPr>
        <w:t xml:space="preserve">1. В соответствии с условиями настоящего Договора Претендент для участия </w:t>
      </w:r>
      <w:r w:rsidRPr="00B923C4">
        <w:rPr>
          <w:sz w:val="22"/>
          <w:szCs w:val="22"/>
        </w:rPr>
        <w:t xml:space="preserve">в торгах, </w:t>
      </w:r>
      <w:r w:rsidRPr="00B923C4">
        <w:rPr>
          <w:b/>
          <w:sz w:val="22"/>
          <w:szCs w:val="22"/>
        </w:rPr>
        <w:t xml:space="preserve">назначенных на </w:t>
      </w:r>
      <w:r w:rsidRPr="00B923C4">
        <w:rPr>
          <w:b/>
          <w:color w:val="auto"/>
          <w:sz w:val="22"/>
          <w:szCs w:val="22"/>
          <w:shd w:val="clear" w:color="auto" w:fill="F2F2F2"/>
        </w:rPr>
        <w:t>_______________ г.</w:t>
      </w:r>
      <w:r w:rsidRPr="00B923C4">
        <w:rPr>
          <w:b/>
          <w:color w:val="auto"/>
          <w:sz w:val="22"/>
          <w:szCs w:val="22"/>
        </w:rPr>
        <w:t xml:space="preserve"> </w:t>
      </w:r>
      <w:r w:rsidRPr="00B923C4">
        <w:rPr>
          <w:color w:val="auto"/>
          <w:sz w:val="22"/>
          <w:szCs w:val="22"/>
        </w:rPr>
        <w:t>на электронной торговой площадке</w:t>
      </w:r>
      <w:r w:rsidRPr="00B923C4">
        <w:rPr>
          <w:sz w:val="22"/>
          <w:szCs w:val="22"/>
        </w:rPr>
        <w:t xml:space="preserve"> </w:t>
      </w:r>
      <w:r w:rsidRPr="00B923C4">
        <w:rPr>
          <w:color w:val="auto"/>
          <w:sz w:val="22"/>
          <w:szCs w:val="22"/>
        </w:rPr>
        <w:t xml:space="preserve">АО «Российский аукционный дом», по адресу в сети интернет: </w:t>
      </w:r>
      <w:hyperlink r:id="rId5" w:history="1">
        <w:r w:rsidRPr="00B923C4">
          <w:rPr>
            <w:color w:val="0000FF"/>
            <w:sz w:val="22"/>
            <w:szCs w:val="22"/>
            <w:u w:val="single"/>
          </w:rPr>
          <w:t>http://lot-online.ru</w:t>
        </w:r>
      </w:hyperlink>
      <w:r w:rsidRPr="00B923C4">
        <w:rPr>
          <w:color w:val="auto"/>
          <w:sz w:val="22"/>
          <w:szCs w:val="22"/>
        </w:rPr>
        <w:t xml:space="preserve"> </w:t>
      </w:r>
      <w:r w:rsidRPr="00B923C4">
        <w:rPr>
          <w:sz w:val="22"/>
          <w:szCs w:val="22"/>
        </w:rPr>
        <w:t xml:space="preserve">по продаже на торгах следующего имущества (далее – Имущество, Лот): </w:t>
      </w:r>
    </w:p>
    <w:p w14:paraId="68475D0A" w14:textId="77777777" w:rsidR="005C0036" w:rsidRPr="00B923C4" w:rsidRDefault="005C0036" w:rsidP="005C0036">
      <w:pPr>
        <w:tabs>
          <w:tab w:val="left" w:pos="1134"/>
        </w:tabs>
        <w:ind w:right="-57" w:firstLine="567"/>
        <w:jc w:val="both"/>
        <w:rPr>
          <w:color w:val="auto"/>
          <w:sz w:val="22"/>
          <w:szCs w:val="22"/>
        </w:rPr>
      </w:pPr>
      <w:r w:rsidRPr="00B923C4">
        <w:rPr>
          <w:sz w:val="22"/>
          <w:szCs w:val="22"/>
        </w:rPr>
        <w:t>_____________________________________________________________________________________________________________________________________________________________________________________</w:t>
      </w:r>
    </w:p>
    <w:p w14:paraId="14C9465E" w14:textId="1355FC27" w:rsidR="005C0036" w:rsidRPr="00B923C4" w:rsidRDefault="005C0036" w:rsidP="005C00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rPr>
          <w:color w:val="auto"/>
          <w:sz w:val="22"/>
          <w:szCs w:val="22"/>
        </w:rPr>
      </w:pPr>
      <w:r w:rsidRPr="00B923C4">
        <w:rPr>
          <w:color w:val="auto"/>
          <w:sz w:val="22"/>
          <w:szCs w:val="22"/>
        </w:rPr>
        <w:t xml:space="preserve">перечисляет денежные средства в размере </w:t>
      </w:r>
      <w:r w:rsidR="00BE0B9B">
        <w:rPr>
          <w:color w:val="auto"/>
          <w:sz w:val="22"/>
          <w:szCs w:val="22"/>
          <w:highlight w:val="yellow"/>
        </w:rPr>
        <w:t>2</w:t>
      </w:r>
      <w:r w:rsidRPr="00B923C4">
        <w:rPr>
          <w:color w:val="auto"/>
          <w:sz w:val="22"/>
          <w:szCs w:val="22"/>
          <w:highlight w:val="yellow"/>
        </w:rPr>
        <w:t>0 (д</w:t>
      </w:r>
      <w:r w:rsidR="00BE0B9B">
        <w:rPr>
          <w:color w:val="auto"/>
          <w:sz w:val="22"/>
          <w:szCs w:val="22"/>
          <w:highlight w:val="yellow"/>
        </w:rPr>
        <w:t>вадцати</w:t>
      </w:r>
      <w:r w:rsidRPr="00B923C4">
        <w:rPr>
          <w:color w:val="auto"/>
          <w:sz w:val="22"/>
          <w:szCs w:val="22"/>
          <w:highlight w:val="yellow"/>
        </w:rPr>
        <w:t>)%</w:t>
      </w:r>
      <w:r w:rsidRPr="00B923C4">
        <w:rPr>
          <w:color w:val="auto"/>
          <w:sz w:val="22"/>
          <w:szCs w:val="22"/>
        </w:rPr>
        <w:t xml:space="preserve"> от</w:t>
      </w:r>
      <w:r w:rsidR="00B923C4">
        <w:rPr>
          <w:color w:val="auto"/>
          <w:sz w:val="22"/>
          <w:szCs w:val="22"/>
        </w:rPr>
        <w:t xml:space="preserve"> начальной </w:t>
      </w:r>
      <w:r w:rsidRPr="00B923C4">
        <w:rPr>
          <w:color w:val="auto"/>
          <w:sz w:val="22"/>
          <w:szCs w:val="22"/>
        </w:rPr>
        <w:t xml:space="preserve">цены Лота (далее – «Задаток») путем перечисления на расчетный счет Организатора торгов: </w:t>
      </w:r>
    </w:p>
    <w:p w14:paraId="089D2FAF" w14:textId="77777777" w:rsidR="005C0036" w:rsidRPr="00B923C4" w:rsidRDefault="005C0036" w:rsidP="005C0036">
      <w:pPr>
        <w:ind w:firstLine="851"/>
        <w:jc w:val="both"/>
        <w:rPr>
          <w:b/>
          <w:bCs/>
          <w:color w:val="auto"/>
          <w:sz w:val="22"/>
          <w:szCs w:val="22"/>
        </w:rPr>
      </w:pPr>
      <w:r w:rsidRPr="00B923C4">
        <w:rPr>
          <w:b/>
          <w:bCs/>
          <w:color w:val="auto"/>
          <w:sz w:val="22"/>
          <w:szCs w:val="22"/>
          <w:u w:val="single"/>
        </w:rPr>
        <w:t>Получатель</w:t>
      </w:r>
      <w:r w:rsidRPr="00B923C4">
        <w:rPr>
          <w:b/>
          <w:bCs/>
          <w:color w:val="auto"/>
          <w:sz w:val="22"/>
          <w:szCs w:val="22"/>
        </w:rPr>
        <w:t xml:space="preserve"> - АО «Российский аукционный дом» (ИНН 7838430413, КПП 783801001):</w:t>
      </w:r>
    </w:p>
    <w:p w14:paraId="113B1482" w14:textId="77777777" w:rsidR="005C0036" w:rsidRPr="00B923C4" w:rsidRDefault="005C0036" w:rsidP="005C0036">
      <w:pPr>
        <w:ind w:right="60" w:firstLine="567"/>
        <w:jc w:val="both"/>
        <w:rPr>
          <w:b/>
          <w:bCs/>
          <w:sz w:val="22"/>
          <w:szCs w:val="22"/>
        </w:rPr>
      </w:pPr>
      <w:r w:rsidRPr="00B923C4">
        <w:rPr>
          <w:b/>
          <w:bCs/>
          <w:sz w:val="22"/>
          <w:szCs w:val="22"/>
        </w:rPr>
        <w:t>Задаток подлежит перечислению на один из расчетных счетов АО «Российский аукционный дом»:</w:t>
      </w:r>
    </w:p>
    <w:p w14:paraId="228E8117" w14:textId="3785D72D" w:rsidR="005C0036" w:rsidRPr="00B923C4" w:rsidRDefault="000F6F79" w:rsidP="000F6F79">
      <w:pPr>
        <w:ind w:right="-2"/>
        <w:jc w:val="both"/>
        <w:rPr>
          <w:b/>
          <w:sz w:val="22"/>
          <w:szCs w:val="22"/>
        </w:rPr>
      </w:pPr>
      <w:r w:rsidRPr="00B923C4">
        <w:rPr>
          <w:b/>
          <w:sz w:val="22"/>
          <w:szCs w:val="22"/>
        </w:rPr>
        <w:t xml:space="preserve">- </w:t>
      </w:r>
      <w:r w:rsidR="005C0036" w:rsidRPr="00B923C4">
        <w:rPr>
          <w:b/>
          <w:sz w:val="22"/>
          <w:szCs w:val="22"/>
        </w:rPr>
        <w:t>№ 40702810855230001547 в Северо-Западном банке ПАО «Сбербанк России» г. Санкт-Петербург, к/с 30101810500000000653, БИК 044030653;</w:t>
      </w:r>
    </w:p>
    <w:p w14:paraId="4FFB1C3B" w14:textId="7A600014" w:rsidR="005C0036" w:rsidRPr="00B923C4" w:rsidRDefault="000F6F79" w:rsidP="000F6F79">
      <w:pPr>
        <w:jc w:val="both"/>
        <w:rPr>
          <w:b/>
          <w:sz w:val="22"/>
          <w:szCs w:val="22"/>
        </w:rPr>
      </w:pPr>
      <w:r w:rsidRPr="00B923C4">
        <w:rPr>
          <w:b/>
          <w:color w:val="auto"/>
          <w:sz w:val="22"/>
          <w:szCs w:val="22"/>
        </w:rPr>
        <w:t xml:space="preserve">-   </w:t>
      </w:r>
      <w:r w:rsidR="005C0036" w:rsidRPr="00B923C4">
        <w:rPr>
          <w:b/>
          <w:color w:val="auto"/>
          <w:sz w:val="22"/>
          <w:szCs w:val="22"/>
        </w:rPr>
        <w:t>№ 40702810100050004773 в Северо-западном филиале ПАО «Банк «ФК Открытие» в г. Санкт-Петербург, к/с 30101810540300000795, БИК 044030795</w:t>
      </w:r>
      <w:r w:rsidR="005C0036" w:rsidRPr="00B923C4">
        <w:rPr>
          <w:b/>
          <w:sz w:val="22"/>
          <w:szCs w:val="22"/>
        </w:rPr>
        <w:t xml:space="preserve">2. </w:t>
      </w:r>
    </w:p>
    <w:p w14:paraId="6F76EB35" w14:textId="77777777" w:rsidR="005C0036" w:rsidRPr="00B923C4" w:rsidRDefault="005C0036" w:rsidP="005C0036">
      <w:pPr>
        <w:ind w:firstLine="851"/>
        <w:jc w:val="both"/>
        <w:rPr>
          <w:sz w:val="22"/>
          <w:szCs w:val="22"/>
        </w:rPr>
      </w:pPr>
      <w:r w:rsidRPr="00B923C4">
        <w:rPr>
          <w:sz w:val="22"/>
          <w:szCs w:val="22"/>
        </w:rPr>
        <w:t>Задаток должен быть внесен Претендентом на счет Организатора торгов не позднее даты и времени окончания приема заявок, указанных в сообщении о проведении торгов</w:t>
      </w:r>
      <w:r w:rsidRPr="00B923C4">
        <w:rPr>
          <w:b/>
          <w:sz w:val="22"/>
          <w:szCs w:val="22"/>
        </w:rPr>
        <w:t>.</w:t>
      </w:r>
      <w:r w:rsidRPr="00B923C4">
        <w:rPr>
          <w:sz w:val="22"/>
          <w:szCs w:val="22"/>
        </w:rPr>
        <w:t xml:space="preserve"> Задаток считается внесенным с даты поступления всей суммы Задатка на указанный счет. </w:t>
      </w:r>
    </w:p>
    <w:p w14:paraId="402A400C" w14:textId="77777777" w:rsidR="005C0036" w:rsidRPr="00B923C4" w:rsidRDefault="005C0036" w:rsidP="005C0036">
      <w:pPr>
        <w:overflowPunct w:val="0"/>
        <w:autoSpaceDE w:val="0"/>
        <w:autoSpaceDN w:val="0"/>
        <w:adjustRightInd w:val="0"/>
        <w:ind w:firstLine="851"/>
        <w:jc w:val="both"/>
        <w:textAlignment w:val="baseline"/>
        <w:rPr>
          <w:color w:val="auto"/>
          <w:sz w:val="22"/>
          <w:szCs w:val="22"/>
        </w:rPr>
      </w:pPr>
      <w:r w:rsidRPr="00B923C4">
        <w:rPr>
          <w:color w:val="auto"/>
          <w:sz w:val="22"/>
          <w:szCs w:val="22"/>
        </w:rPr>
        <w:t>В случае, когда сумма Задатка от Претендента не зачислена на расчетный счет Организатора торгов на дату составления протокола об определении участников торгов, Претендент не допускается к участию в торгах. Представление Претендентом платежных документов с отметкой об исполнении при этом во внимание Организатором торгов не принимается.</w:t>
      </w:r>
    </w:p>
    <w:p w14:paraId="2FE7E680" w14:textId="77777777" w:rsidR="005C0036" w:rsidRPr="00B923C4" w:rsidRDefault="005C0036" w:rsidP="005C0036">
      <w:pPr>
        <w:ind w:firstLine="851"/>
        <w:jc w:val="both"/>
        <w:rPr>
          <w:color w:val="auto"/>
          <w:sz w:val="22"/>
          <w:szCs w:val="22"/>
        </w:rPr>
      </w:pPr>
      <w:r w:rsidRPr="00B923C4">
        <w:rPr>
          <w:color w:val="auto"/>
          <w:sz w:val="22"/>
          <w:szCs w:val="22"/>
        </w:rPr>
        <w:t>3. Договор о задатке может быть подписан Претендентом электронной подписью Претендента либо Претендент вправе направить задаток на счет, указанный в п. 1 настоящего Договора без подписания настоящего Договора электронной подписью Претендента (в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 Задаток служит обеспечением исполнения обязательств Претендента по заключению по итогам торгов договора и оплате цены продажи Имущества (Лота), определенной по итогам торгов, в случае признания Претендента победителем торгов.</w:t>
      </w:r>
    </w:p>
    <w:p w14:paraId="6E8283AE" w14:textId="78F42F6C" w:rsidR="005C0036" w:rsidRPr="00B923C4" w:rsidRDefault="005C0036" w:rsidP="005C0036">
      <w:pPr>
        <w:pStyle w:val="ab"/>
        <w:spacing w:line="240" w:lineRule="auto"/>
        <w:ind w:right="-29" w:firstLine="567"/>
        <w:rPr>
          <w:rFonts w:ascii="Times New Roman" w:hAnsi="Times New Roman" w:cs="Times New Roman"/>
          <w:color w:val="auto"/>
          <w:sz w:val="22"/>
          <w:szCs w:val="22"/>
          <w:u w:val="single"/>
        </w:rPr>
      </w:pPr>
      <w:r w:rsidRPr="00B923C4">
        <w:rPr>
          <w:rFonts w:ascii="Times New Roman" w:hAnsi="Times New Roman" w:cs="Times New Roman"/>
          <w:b/>
          <w:color w:val="auto"/>
          <w:sz w:val="22"/>
          <w:szCs w:val="22"/>
        </w:rPr>
        <w:t xml:space="preserve">4. </w:t>
      </w:r>
      <w:r w:rsidRPr="00B923C4">
        <w:rPr>
          <w:rFonts w:ascii="Times New Roman" w:hAnsi="Times New Roman" w:cs="Times New Roman"/>
          <w:color w:val="auto"/>
          <w:sz w:val="22"/>
          <w:szCs w:val="22"/>
          <w:u w:val="single"/>
        </w:rPr>
        <w:t>В платежном поручении в части «Назначение платежа» претенденту необходимо указать «</w:t>
      </w:r>
      <w:r w:rsidR="004D43AB" w:rsidRPr="004D43AB">
        <w:rPr>
          <w:rFonts w:ascii="Times New Roman" w:hAnsi="Times New Roman" w:cs="Times New Roman"/>
          <w:color w:val="auto"/>
          <w:sz w:val="24"/>
          <w:szCs w:val="24"/>
          <w:u w:val="single"/>
        </w:rPr>
        <w:t>Задаток за участие в торгах по имуществу, являющемуся предметом залога по лоту №РАД…» и</w:t>
      </w:r>
      <w:r w:rsidR="004D43AB" w:rsidRPr="008452DD">
        <w:rPr>
          <w:rFonts w:ascii="Times New Roman" w:hAnsi="Times New Roman" w:cs="Times New Roman"/>
          <w:color w:val="auto"/>
          <w:sz w:val="24"/>
          <w:szCs w:val="24"/>
          <w:u w:val="single"/>
        </w:rPr>
        <w:t xml:space="preserve"> </w:t>
      </w:r>
      <w:r w:rsidR="004D43AB">
        <w:rPr>
          <w:rFonts w:ascii="Times New Roman" w:hAnsi="Times New Roman" w:cs="Times New Roman"/>
          <w:color w:val="auto"/>
          <w:sz w:val="24"/>
          <w:szCs w:val="24"/>
          <w:u w:val="single"/>
        </w:rPr>
        <w:t xml:space="preserve">указать </w:t>
      </w:r>
      <w:r w:rsidR="004D43AB" w:rsidRPr="008452DD">
        <w:rPr>
          <w:rFonts w:ascii="Times New Roman" w:hAnsi="Times New Roman" w:cs="Times New Roman"/>
          <w:color w:val="auto"/>
          <w:sz w:val="24"/>
          <w:szCs w:val="24"/>
          <w:u w:val="single"/>
        </w:rPr>
        <w:t>номер кода Лота (присвоенный электронной площадкой РАД-ххххх)</w:t>
      </w:r>
      <w:r w:rsidRPr="00B923C4">
        <w:rPr>
          <w:rFonts w:ascii="Times New Roman" w:hAnsi="Times New Roman" w:cs="Times New Roman"/>
          <w:color w:val="auto"/>
          <w:sz w:val="22"/>
          <w:szCs w:val="22"/>
          <w:u w:val="single"/>
        </w:rPr>
        <w:t>, в части «Получатель» необходимо указывать наименование – Акционерное общество «Российский аукционный дом». Сокращение наименования не допускается.</w:t>
      </w:r>
    </w:p>
    <w:p w14:paraId="2002997B" w14:textId="77777777" w:rsidR="005C0036" w:rsidRPr="00B923C4" w:rsidRDefault="005C0036" w:rsidP="005C0036">
      <w:pPr>
        <w:ind w:firstLine="851"/>
        <w:jc w:val="both"/>
        <w:rPr>
          <w:b/>
          <w:color w:val="auto"/>
          <w:sz w:val="22"/>
          <w:szCs w:val="22"/>
        </w:rPr>
      </w:pPr>
      <w:r w:rsidRPr="00B923C4">
        <w:rPr>
          <w:b/>
          <w:color w:val="auto"/>
          <w:sz w:val="22"/>
          <w:szCs w:val="22"/>
        </w:rPr>
        <w:t>Датой внесения задатка считается дата поступления денежных средств, перечисленных в качестве задатка, на счет Организатора торгов.</w:t>
      </w:r>
    </w:p>
    <w:p w14:paraId="1EC6D37C" w14:textId="77777777" w:rsidR="005C0036" w:rsidRPr="00B923C4" w:rsidRDefault="005C0036" w:rsidP="005C0036">
      <w:pPr>
        <w:ind w:firstLine="851"/>
        <w:jc w:val="both"/>
        <w:rPr>
          <w:color w:val="auto"/>
          <w:sz w:val="22"/>
          <w:szCs w:val="22"/>
        </w:rPr>
      </w:pPr>
      <w:r w:rsidRPr="00B923C4">
        <w:rPr>
          <w:color w:val="auto"/>
          <w:sz w:val="22"/>
          <w:szCs w:val="22"/>
        </w:rPr>
        <w:t>5. На денежные средства, перечисленные в соответствии с настоящим Договором, проценты не начисляются.</w:t>
      </w:r>
    </w:p>
    <w:p w14:paraId="4CAC00AE" w14:textId="77777777" w:rsidR="005C0036" w:rsidRPr="00B923C4" w:rsidRDefault="005C0036" w:rsidP="005C0036">
      <w:pPr>
        <w:ind w:firstLine="851"/>
        <w:jc w:val="both"/>
        <w:rPr>
          <w:color w:val="auto"/>
          <w:sz w:val="22"/>
          <w:szCs w:val="22"/>
        </w:rPr>
      </w:pPr>
      <w:r w:rsidRPr="00B923C4">
        <w:rPr>
          <w:color w:val="auto"/>
          <w:sz w:val="22"/>
          <w:szCs w:val="22"/>
        </w:rPr>
        <w:t>6. Исполнение обязанности по внесению суммы задатка третьими лицами не допускается.</w:t>
      </w:r>
    </w:p>
    <w:p w14:paraId="7DA2FBBC" w14:textId="77777777" w:rsidR="005C0036" w:rsidRPr="00B923C4" w:rsidRDefault="005C0036" w:rsidP="005C0036">
      <w:pPr>
        <w:ind w:firstLine="851"/>
        <w:jc w:val="both"/>
        <w:rPr>
          <w:color w:val="auto"/>
          <w:sz w:val="22"/>
          <w:szCs w:val="22"/>
        </w:rPr>
      </w:pPr>
      <w:r w:rsidRPr="00B923C4">
        <w:rPr>
          <w:color w:val="auto"/>
          <w:sz w:val="22"/>
          <w:szCs w:val="22"/>
        </w:rPr>
        <w:lastRenderedPageBreak/>
        <w:t>7. Сроки возврата суммы задатка, внесенного Претендентом на счет Организатора торгов:</w:t>
      </w:r>
    </w:p>
    <w:p w14:paraId="70A0440B" w14:textId="77777777" w:rsidR="005C0036" w:rsidRPr="00B923C4" w:rsidRDefault="005C0036" w:rsidP="005C0036">
      <w:pPr>
        <w:autoSpaceDE w:val="0"/>
        <w:autoSpaceDN w:val="0"/>
        <w:adjustRightInd w:val="0"/>
        <w:ind w:firstLine="851"/>
        <w:jc w:val="both"/>
        <w:outlineLvl w:val="1"/>
        <w:rPr>
          <w:color w:val="auto"/>
          <w:sz w:val="22"/>
          <w:szCs w:val="22"/>
        </w:rPr>
      </w:pPr>
      <w:r w:rsidRPr="00B923C4">
        <w:rPr>
          <w:sz w:val="22"/>
          <w:szCs w:val="22"/>
        </w:rPr>
        <w:t>7.1.</w:t>
      </w:r>
      <w:r w:rsidRPr="00B923C4">
        <w:rPr>
          <w:color w:val="auto"/>
          <w:sz w:val="22"/>
          <w:szCs w:val="22"/>
        </w:rPr>
        <w:t xml:space="preserve"> В случае, если Претендент не признан победителем торгов, – в течение 5 (пяти) рабочих дней со дня подписания протокола о результатах проведения торгов.</w:t>
      </w:r>
    </w:p>
    <w:p w14:paraId="4F5F57CD" w14:textId="77777777" w:rsidR="005C0036" w:rsidRPr="00B923C4" w:rsidRDefault="005C0036" w:rsidP="005C0036">
      <w:pPr>
        <w:ind w:firstLine="851"/>
        <w:jc w:val="both"/>
        <w:rPr>
          <w:color w:val="auto"/>
          <w:sz w:val="22"/>
          <w:szCs w:val="22"/>
        </w:rPr>
      </w:pPr>
      <w:r w:rsidRPr="00B923C4">
        <w:rPr>
          <w:color w:val="auto"/>
          <w:sz w:val="22"/>
          <w:szCs w:val="22"/>
        </w:rPr>
        <w:t>7.2. В случае отмены торгов Организатор торгов обязуется возвратить сумму внесенного Претендентом Задатка в течение 5 (пяти) рабочих дней со дня подписания генеральным директором Организатора торгов приказа об отмене торгов.</w:t>
      </w:r>
    </w:p>
    <w:p w14:paraId="17B82C6A" w14:textId="77777777" w:rsidR="005C0036" w:rsidRPr="00B923C4" w:rsidRDefault="005C0036" w:rsidP="005C0036">
      <w:pPr>
        <w:ind w:firstLine="851"/>
        <w:jc w:val="both"/>
        <w:rPr>
          <w:color w:val="auto"/>
          <w:sz w:val="22"/>
          <w:szCs w:val="22"/>
        </w:rPr>
      </w:pPr>
      <w:r w:rsidRPr="00B923C4">
        <w:rPr>
          <w:color w:val="auto"/>
          <w:sz w:val="22"/>
          <w:szCs w:val="22"/>
        </w:rPr>
        <w:t xml:space="preserve">7.3. Внесенный Задаток не возвращается в случае, если Претендент, признанный победителем торгов, уклонится либо откажется от подписания договора, подлежащего заключению по итогам торгов, от внесения в установленный срок цены продажи Имущества (Лота), определенной по итогам торгов (за вычетом ранее внесенного Задатка). </w:t>
      </w:r>
    </w:p>
    <w:p w14:paraId="0F8CA94A" w14:textId="77777777" w:rsidR="005C0036" w:rsidRPr="00B923C4" w:rsidRDefault="005C0036" w:rsidP="005C0036">
      <w:pPr>
        <w:ind w:firstLine="851"/>
        <w:jc w:val="both"/>
        <w:rPr>
          <w:color w:val="auto"/>
          <w:sz w:val="22"/>
          <w:szCs w:val="22"/>
        </w:rPr>
      </w:pPr>
      <w:r w:rsidRPr="00B923C4">
        <w:rPr>
          <w:color w:val="auto"/>
          <w:sz w:val="22"/>
          <w:szCs w:val="22"/>
        </w:rPr>
        <w:t>7.4. В случае признания Претендента победителем торгов сумма внесенного Задатка засчитывается в счет оплаты по договору, заключаемого по итогам торгов.</w:t>
      </w:r>
    </w:p>
    <w:p w14:paraId="22473A00" w14:textId="77777777" w:rsidR="005C0036" w:rsidRPr="00B923C4" w:rsidRDefault="005C0036" w:rsidP="005C0036">
      <w:pPr>
        <w:ind w:firstLine="851"/>
        <w:jc w:val="both"/>
        <w:rPr>
          <w:color w:val="auto"/>
          <w:sz w:val="22"/>
          <w:szCs w:val="22"/>
        </w:rPr>
      </w:pPr>
      <w:r w:rsidRPr="00B923C4">
        <w:rPr>
          <w:color w:val="auto"/>
          <w:sz w:val="22"/>
          <w:szCs w:val="22"/>
        </w:rPr>
        <w:t xml:space="preserve">8. </w:t>
      </w:r>
      <w:r w:rsidRPr="00B923C4">
        <w:rPr>
          <w:color w:val="auto"/>
          <w:sz w:val="22"/>
          <w:szCs w:val="22"/>
          <w:u w:val="single"/>
        </w:rPr>
        <w:t>В случаях возврата Организатором торгов Задатка Претенденту, возврат производится путем безналичного перечисления суммы Задатка со счета Организатора торгов на счет Претендента, указанный в реквизитах настоящего Договора.</w:t>
      </w:r>
    </w:p>
    <w:p w14:paraId="2188DBBB" w14:textId="77777777" w:rsidR="005C0036" w:rsidRPr="00B923C4" w:rsidRDefault="005C0036" w:rsidP="005C0036">
      <w:pPr>
        <w:ind w:firstLine="851"/>
        <w:jc w:val="both"/>
        <w:rPr>
          <w:color w:val="auto"/>
          <w:sz w:val="22"/>
          <w:szCs w:val="22"/>
        </w:rPr>
      </w:pPr>
      <w:r w:rsidRPr="00B923C4">
        <w:rPr>
          <w:color w:val="auto"/>
          <w:sz w:val="22"/>
          <w:szCs w:val="22"/>
        </w:rPr>
        <w:t xml:space="preserve">9. В ходе  исполнения  настоящего Договора  его  Стороны   принимают  условия    Регламента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размещенного </w:t>
      </w:r>
      <w:r w:rsidRPr="00B923C4">
        <w:rPr>
          <w:sz w:val="22"/>
          <w:szCs w:val="22"/>
        </w:rPr>
        <w:t xml:space="preserve">   на электронной торговой площадке, принадлежащей Организатору торгов,  по адресу в сети интернет: </w:t>
      </w:r>
      <w:hyperlink r:id="rId6" w:tgtFrame="_blank" w:history="1">
        <w:r w:rsidRPr="00B923C4">
          <w:rPr>
            <w:rStyle w:val="aa"/>
            <w:sz w:val="22"/>
            <w:szCs w:val="22"/>
          </w:rPr>
          <w:t>http://lot-online.ru</w:t>
        </w:r>
      </w:hyperlink>
      <w:r w:rsidRPr="00B923C4">
        <w:rPr>
          <w:color w:val="auto"/>
          <w:sz w:val="22"/>
          <w:szCs w:val="22"/>
        </w:rPr>
        <w:t xml:space="preserve">. </w:t>
      </w:r>
    </w:p>
    <w:p w14:paraId="1A626496" w14:textId="77777777" w:rsidR="005C0036" w:rsidRPr="00B923C4" w:rsidRDefault="005C0036" w:rsidP="005C0036">
      <w:pPr>
        <w:ind w:firstLine="851"/>
        <w:jc w:val="both"/>
        <w:rPr>
          <w:color w:val="auto"/>
          <w:sz w:val="22"/>
          <w:szCs w:val="22"/>
        </w:rPr>
      </w:pPr>
      <w:r w:rsidRPr="00B923C4">
        <w:rPr>
          <w:color w:val="auto"/>
          <w:sz w:val="22"/>
          <w:szCs w:val="22"/>
        </w:rPr>
        <w:t>10.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w:t>
      </w:r>
    </w:p>
    <w:p w14:paraId="4BB98531" w14:textId="77777777" w:rsidR="005C0036" w:rsidRPr="00B923C4" w:rsidRDefault="005C0036" w:rsidP="005C0036">
      <w:pPr>
        <w:ind w:firstLine="851"/>
        <w:jc w:val="both"/>
        <w:rPr>
          <w:color w:val="auto"/>
          <w:sz w:val="22"/>
          <w:szCs w:val="22"/>
        </w:rPr>
      </w:pPr>
      <w:r w:rsidRPr="00B923C4">
        <w:rPr>
          <w:color w:val="auto"/>
          <w:sz w:val="22"/>
          <w:szCs w:val="22"/>
        </w:rPr>
        <w:t xml:space="preserve">11.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условиями настоящего Договора, условиями договора, подлежащего заключению по итогам торгов. </w:t>
      </w:r>
    </w:p>
    <w:p w14:paraId="27377335" w14:textId="77777777" w:rsidR="005C0036" w:rsidRPr="00B923C4" w:rsidRDefault="005C0036" w:rsidP="005C0036">
      <w:pPr>
        <w:ind w:firstLine="464"/>
        <w:jc w:val="both"/>
        <w:rPr>
          <w:color w:val="auto"/>
          <w:sz w:val="22"/>
          <w:szCs w:val="22"/>
        </w:rPr>
      </w:pPr>
    </w:p>
    <w:p w14:paraId="154B79E5" w14:textId="77777777" w:rsidR="005C0036" w:rsidRPr="00B923C4" w:rsidRDefault="005C0036" w:rsidP="005C0036">
      <w:pPr>
        <w:autoSpaceDE w:val="0"/>
        <w:autoSpaceDN w:val="0"/>
        <w:ind w:firstLine="284"/>
        <w:jc w:val="center"/>
        <w:rPr>
          <w:b/>
          <w:bCs/>
          <w:color w:val="auto"/>
          <w:sz w:val="22"/>
          <w:szCs w:val="22"/>
        </w:rPr>
      </w:pPr>
      <w:r w:rsidRPr="00B923C4">
        <w:rPr>
          <w:b/>
          <w:bCs/>
          <w:color w:val="auto"/>
          <w:sz w:val="22"/>
          <w:szCs w:val="22"/>
        </w:rPr>
        <w:t>Реквизиты сторон:</w:t>
      </w:r>
    </w:p>
    <w:p w14:paraId="0B8FFE2B" w14:textId="77777777" w:rsidR="005C0036" w:rsidRPr="00B923C4" w:rsidRDefault="005C0036" w:rsidP="005C0036">
      <w:pPr>
        <w:autoSpaceDE w:val="0"/>
        <w:autoSpaceDN w:val="0"/>
        <w:ind w:firstLine="284"/>
        <w:jc w:val="center"/>
        <w:rPr>
          <w:b/>
          <w:bCs/>
          <w:color w:val="auto"/>
          <w:sz w:val="22"/>
          <w:szCs w:val="22"/>
        </w:rPr>
      </w:pPr>
    </w:p>
    <w:tbl>
      <w:tblPr>
        <w:tblW w:w="9824" w:type="dxa"/>
        <w:tblLayout w:type="fixed"/>
        <w:tblLook w:val="0000" w:firstRow="0" w:lastRow="0" w:firstColumn="0" w:lastColumn="0" w:noHBand="0" w:noVBand="0"/>
      </w:tblPr>
      <w:tblGrid>
        <w:gridCol w:w="4987"/>
        <w:gridCol w:w="563"/>
        <w:gridCol w:w="4274"/>
      </w:tblGrid>
      <w:tr w:rsidR="005C0036" w:rsidRPr="00B923C4" w14:paraId="6ACC2BF9" w14:textId="77777777" w:rsidTr="00BA04BC">
        <w:trPr>
          <w:trHeight w:val="2078"/>
        </w:trPr>
        <w:tc>
          <w:tcPr>
            <w:tcW w:w="4987" w:type="dxa"/>
            <w:tcBorders>
              <w:top w:val="nil"/>
              <w:left w:val="nil"/>
              <w:bottom w:val="nil"/>
              <w:right w:val="nil"/>
            </w:tcBorders>
          </w:tcPr>
          <w:p w14:paraId="2E165F09" w14:textId="77777777" w:rsidR="005C0036" w:rsidRPr="00B923C4" w:rsidRDefault="005C0036" w:rsidP="00BA04BC">
            <w:pPr>
              <w:jc w:val="center"/>
              <w:rPr>
                <w:b/>
                <w:bCs/>
                <w:sz w:val="22"/>
                <w:szCs w:val="22"/>
              </w:rPr>
            </w:pPr>
            <w:r w:rsidRPr="00B923C4">
              <w:rPr>
                <w:b/>
                <w:bCs/>
                <w:sz w:val="22"/>
                <w:szCs w:val="22"/>
              </w:rPr>
              <w:t>ОРГАНИЗАТОР ТОРГОВ:</w:t>
            </w:r>
          </w:p>
          <w:p w14:paraId="2B48A494" w14:textId="77777777" w:rsidR="005C0036" w:rsidRPr="00B923C4" w:rsidRDefault="005C0036" w:rsidP="00BA04BC">
            <w:pPr>
              <w:jc w:val="center"/>
              <w:rPr>
                <w:b/>
                <w:color w:val="auto"/>
                <w:sz w:val="22"/>
                <w:szCs w:val="22"/>
              </w:rPr>
            </w:pPr>
            <w:r w:rsidRPr="00B923C4">
              <w:rPr>
                <w:b/>
                <w:color w:val="auto"/>
                <w:sz w:val="22"/>
                <w:szCs w:val="22"/>
              </w:rPr>
              <w:t>Акционерное общество</w:t>
            </w:r>
          </w:p>
          <w:p w14:paraId="1CDE801C" w14:textId="77777777" w:rsidR="005C0036" w:rsidRPr="00B923C4" w:rsidRDefault="005C0036" w:rsidP="00BA04BC">
            <w:pPr>
              <w:jc w:val="center"/>
              <w:rPr>
                <w:b/>
                <w:color w:val="auto"/>
                <w:sz w:val="22"/>
                <w:szCs w:val="22"/>
              </w:rPr>
            </w:pPr>
            <w:r w:rsidRPr="00B923C4">
              <w:rPr>
                <w:b/>
                <w:color w:val="auto"/>
                <w:sz w:val="22"/>
                <w:szCs w:val="22"/>
              </w:rPr>
              <w:t>«Российский аукционный дом»</w:t>
            </w:r>
          </w:p>
          <w:p w14:paraId="1EE56A72" w14:textId="77777777" w:rsidR="005C0036" w:rsidRPr="00B923C4" w:rsidRDefault="005C0036" w:rsidP="00BA04BC">
            <w:pPr>
              <w:jc w:val="center"/>
              <w:rPr>
                <w:b/>
                <w:color w:val="auto"/>
                <w:sz w:val="22"/>
                <w:szCs w:val="22"/>
              </w:rPr>
            </w:pPr>
          </w:p>
          <w:p w14:paraId="62315AB3" w14:textId="77777777" w:rsidR="005C0036" w:rsidRPr="00B923C4" w:rsidRDefault="005C0036" w:rsidP="00BA04BC">
            <w:pPr>
              <w:jc w:val="center"/>
              <w:rPr>
                <w:b/>
                <w:color w:val="auto"/>
                <w:sz w:val="22"/>
                <w:szCs w:val="22"/>
              </w:rPr>
            </w:pPr>
            <w:r w:rsidRPr="00B923C4">
              <w:rPr>
                <w:color w:val="auto"/>
                <w:sz w:val="22"/>
                <w:szCs w:val="22"/>
              </w:rPr>
              <w:t>Адрес для корреспонденции:</w:t>
            </w:r>
          </w:p>
          <w:p w14:paraId="1A716337" w14:textId="77777777" w:rsidR="005C0036" w:rsidRPr="00B923C4" w:rsidRDefault="005C0036" w:rsidP="00BA04BC">
            <w:pPr>
              <w:jc w:val="center"/>
              <w:rPr>
                <w:color w:val="auto"/>
                <w:sz w:val="22"/>
                <w:szCs w:val="22"/>
              </w:rPr>
            </w:pPr>
            <w:r w:rsidRPr="00B923C4">
              <w:rPr>
                <w:color w:val="auto"/>
                <w:sz w:val="22"/>
                <w:szCs w:val="22"/>
              </w:rPr>
              <w:t>190000 Санкт-Петербург,</w:t>
            </w:r>
          </w:p>
          <w:p w14:paraId="0AF7F4D3" w14:textId="77777777" w:rsidR="005C0036" w:rsidRPr="00B923C4" w:rsidRDefault="005C0036" w:rsidP="00BA04BC">
            <w:pPr>
              <w:jc w:val="center"/>
              <w:rPr>
                <w:color w:val="auto"/>
                <w:sz w:val="22"/>
                <w:szCs w:val="22"/>
              </w:rPr>
            </w:pPr>
            <w:r w:rsidRPr="00B923C4">
              <w:rPr>
                <w:color w:val="auto"/>
                <w:sz w:val="22"/>
                <w:szCs w:val="22"/>
              </w:rPr>
              <w:t>пер. Гривцова, д.5, лит. В</w:t>
            </w:r>
          </w:p>
          <w:p w14:paraId="6577ECD6" w14:textId="77777777" w:rsidR="005C0036" w:rsidRPr="00B923C4" w:rsidRDefault="005C0036" w:rsidP="00BA04BC">
            <w:pPr>
              <w:jc w:val="center"/>
              <w:rPr>
                <w:color w:val="auto"/>
                <w:sz w:val="22"/>
                <w:szCs w:val="22"/>
              </w:rPr>
            </w:pPr>
            <w:r w:rsidRPr="00B923C4">
              <w:rPr>
                <w:color w:val="auto"/>
                <w:sz w:val="22"/>
                <w:szCs w:val="22"/>
              </w:rPr>
              <w:t>тел. 8 (800) 777-57-57</w:t>
            </w:r>
          </w:p>
          <w:p w14:paraId="44C5B1B2" w14:textId="77777777" w:rsidR="005C0036" w:rsidRPr="00B923C4" w:rsidRDefault="005C0036" w:rsidP="00BA04BC">
            <w:pPr>
              <w:jc w:val="center"/>
              <w:rPr>
                <w:sz w:val="22"/>
                <w:szCs w:val="22"/>
              </w:rPr>
            </w:pPr>
            <w:r w:rsidRPr="00B923C4">
              <w:rPr>
                <w:bCs/>
                <w:sz w:val="22"/>
                <w:szCs w:val="22"/>
              </w:rPr>
              <w:t>р/с№ 40702810855230001547 в Северо-Западном банке ПАО «Сбербанк России» г. Санкт-Петербург, к/с 30101810500000000653, БИК 044030653</w:t>
            </w:r>
          </w:p>
        </w:tc>
        <w:tc>
          <w:tcPr>
            <w:tcW w:w="563" w:type="dxa"/>
            <w:tcBorders>
              <w:top w:val="nil"/>
              <w:left w:val="nil"/>
              <w:bottom w:val="nil"/>
              <w:right w:val="nil"/>
            </w:tcBorders>
          </w:tcPr>
          <w:p w14:paraId="6F3EDF57" w14:textId="77777777" w:rsidR="005C0036" w:rsidRPr="00B923C4" w:rsidRDefault="005C0036" w:rsidP="00BA04BC">
            <w:pPr>
              <w:ind w:firstLine="284"/>
              <w:jc w:val="both"/>
              <w:rPr>
                <w:sz w:val="22"/>
                <w:szCs w:val="22"/>
              </w:rPr>
            </w:pPr>
          </w:p>
        </w:tc>
        <w:tc>
          <w:tcPr>
            <w:tcW w:w="4274" w:type="dxa"/>
            <w:tcBorders>
              <w:top w:val="nil"/>
              <w:left w:val="nil"/>
              <w:bottom w:val="nil"/>
              <w:right w:val="nil"/>
            </w:tcBorders>
          </w:tcPr>
          <w:p w14:paraId="5A0AF91A" w14:textId="77777777" w:rsidR="005C0036" w:rsidRPr="00B923C4" w:rsidRDefault="005C0036" w:rsidP="00BA04BC">
            <w:pPr>
              <w:jc w:val="both"/>
              <w:rPr>
                <w:b/>
                <w:bCs/>
                <w:sz w:val="22"/>
                <w:szCs w:val="22"/>
              </w:rPr>
            </w:pPr>
            <w:r w:rsidRPr="00B923C4">
              <w:rPr>
                <w:sz w:val="22"/>
                <w:szCs w:val="22"/>
              </w:rPr>
              <w:tab/>
            </w:r>
            <w:r w:rsidRPr="00B923C4">
              <w:rPr>
                <w:b/>
                <w:bCs/>
                <w:sz w:val="22"/>
                <w:szCs w:val="22"/>
              </w:rPr>
              <w:t>ПРЕТЕНДЕНТ:</w:t>
            </w:r>
          </w:p>
          <w:p w14:paraId="720334E2" w14:textId="77777777" w:rsidR="005C0036" w:rsidRPr="00B923C4" w:rsidRDefault="005C0036" w:rsidP="00BA04BC">
            <w:pPr>
              <w:jc w:val="both"/>
              <w:rPr>
                <w:b/>
                <w:bCs/>
                <w:sz w:val="22"/>
                <w:szCs w:val="22"/>
              </w:rPr>
            </w:pPr>
            <w:r w:rsidRPr="00B923C4">
              <w:rPr>
                <w:b/>
                <w:bCs/>
                <w:sz w:val="22"/>
                <w:szCs w:val="22"/>
              </w:rPr>
              <w:t>_________________________________</w:t>
            </w:r>
          </w:p>
          <w:p w14:paraId="0010A529" w14:textId="77777777" w:rsidR="005C0036" w:rsidRPr="00B923C4" w:rsidRDefault="005C0036" w:rsidP="00BA04BC">
            <w:pPr>
              <w:jc w:val="both"/>
              <w:rPr>
                <w:sz w:val="22"/>
                <w:szCs w:val="22"/>
              </w:rPr>
            </w:pPr>
            <w:r w:rsidRPr="00B923C4">
              <w:rPr>
                <w:sz w:val="22"/>
                <w:szCs w:val="22"/>
              </w:rPr>
              <w:t>_________________________________</w:t>
            </w:r>
          </w:p>
          <w:p w14:paraId="199CCE78" w14:textId="77777777" w:rsidR="005C0036" w:rsidRPr="00B923C4" w:rsidRDefault="005C0036" w:rsidP="00BA04BC">
            <w:pPr>
              <w:jc w:val="both"/>
              <w:rPr>
                <w:sz w:val="22"/>
                <w:szCs w:val="22"/>
              </w:rPr>
            </w:pPr>
            <w:r w:rsidRPr="00B923C4">
              <w:rPr>
                <w:sz w:val="22"/>
                <w:szCs w:val="22"/>
              </w:rPr>
              <w:t>_________________________________</w:t>
            </w:r>
          </w:p>
          <w:p w14:paraId="2FA98A64" w14:textId="77777777" w:rsidR="005C0036" w:rsidRPr="00B923C4" w:rsidRDefault="005C0036" w:rsidP="00BA04BC">
            <w:pPr>
              <w:jc w:val="both"/>
              <w:rPr>
                <w:sz w:val="22"/>
                <w:szCs w:val="22"/>
              </w:rPr>
            </w:pPr>
            <w:r w:rsidRPr="00B923C4">
              <w:rPr>
                <w:sz w:val="22"/>
                <w:szCs w:val="22"/>
              </w:rPr>
              <w:t>_________________________________</w:t>
            </w:r>
          </w:p>
          <w:p w14:paraId="162EF9B0" w14:textId="77777777" w:rsidR="005C0036" w:rsidRPr="00B923C4" w:rsidRDefault="005C0036" w:rsidP="00BA04BC">
            <w:pPr>
              <w:jc w:val="both"/>
              <w:rPr>
                <w:sz w:val="22"/>
                <w:szCs w:val="22"/>
              </w:rPr>
            </w:pPr>
            <w:r w:rsidRPr="00B923C4">
              <w:rPr>
                <w:sz w:val="22"/>
                <w:szCs w:val="22"/>
              </w:rPr>
              <w:t>_________________________________</w:t>
            </w:r>
          </w:p>
          <w:p w14:paraId="232D90A8" w14:textId="77777777" w:rsidR="005C0036" w:rsidRPr="00B923C4" w:rsidRDefault="005C0036" w:rsidP="00BA04BC">
            <w:pPr>
              <w:jc w:val="both"/>
              <w:rPr>
                <w:sz w:val="22"/>
                <w:szCs w:val="22"/>
              </w:rPr>
            </w:pPr>
            <w:r w:rsidRPr="00B923C4">
              <w:rPr>
                <w:sz w:val="22"/>
                <w:szCs w:val="22"/>
              </w:rPr>
              <w:t>_________________________________</w:t>
            </w:r>
          </w:p>
          <w:p w14:paraId="26134DF5" w14:textId="77777777" w:rsidR="005C0036" w:rsidRPr="00B923C4" w:rsidRDefault="005C0036" w:rsidP="00BA04BC">
            <w:pPr>
              <w:jc w:val="both"/>
              <w:rPr>
                <w:sz w:val="22"/>
                <w:szCs w:val="22"/>
              </w:rPr>
            </w:pPr>
            <w:r w:rsidRPr="00B923C4">
              <w:rPr>
                <w:sz w:val="22"/>
                <w:szCs w:val="22"/>
              </w:rPr>
              <w:t>_________________________________</w:t>
            </w:r>
          </w:p>
          <w:p w14:paraId="4DA26A13" w14:textId="77777777" w:rsidR="005C0036" w:rsidRPr="00B923C4" w:rsidRDefault="005C0036" w:rsidP="00BA04BC">
            <w:pPr>
              <w:jc w:val="both"/>
              <w:rPr>
                <w:sz w:val="22"/>
                <w:szCs w:val="22"/>
              </w:rPr>
            </w:pPr>
          </w:p>
        </w:tc>
      </w:tr>
    </w:tbl>
    <w:p w14:paraId="35BFDDD4" w14:textId="77777777" w:rsidR="005C0036" w:rsidRPr="00B923C4" w:rsidRDefault="005C0036" w:rsidP="005C0036">
      <w:pPr>
        <w:ind w:firstLine="284"/>
        <w:jc w:val="both"/>
        <w:rPr>
          <w:b/>
          <w:bCs/>
          <w:sz w:val="22"/>
          <w:szCs w:val="22"/>
        </w:rPr>
      </w:pPr>
      <w:r w:rsidRPr="00B923C4">
        <w:rPr>
          <w:b/>
          <w:bCs/>
          <w:sz w:val="22"/>
          <w:szCs w:val="22"/>
        </w:rPr>
        <w:t xml:space="preserve">        </w:t>
      </w:r>
    </w:p>
    <w:p w14:paraId="1CADD6EC" w14:textId="77777777" w:rsidR="005C0036" w:rsidRPr="00B923C4" w:rsidRDefault="005C0036" w:rsidP="005C0036">
      <w:pPr>
        <w:ind w:firstLine="284"/>
        <w:jc w:val="both"/>
        <w:rPr>
          <w:b/>
          <w:bCs/>
          <w:sz w:val="22"/>
          <w:szCs w:val="22"/>
        </w:rPr>
      </w:pPr>
      <w:r w:rsidRPr="00B923C4">
        <w:rPr>
          <w:b/>
          <w:bCs/>
          <w:sz w:val="22"/>
          <w:szCs w:val="22"/>
        </w:rPr>
        <w:t xml:space="preserve">  ОТ ОРГАНИЗАТОРА ТОРГОВ </w:t>
      </w:r>
      <w:r w:rsidRPr="00B923C4">
        <w:rPr>
          <w:b/>
          <w:bCs/>
          <w:sz w:val="22"/>
          <w:szCs w:val="22"/>
        </w:rPr>
        <w:tab/>
      </w:r>
      <w:r w:rsidRPr="00B923C4">
        <w:rPr>
          <w:b/>
          <w:bCs/>
          <w:sz w:val="22"/>
          <w:szCs w:val="22"/>
        </w:rPr>
        <w:tab/>
      </w:r>
      <w:r w:rsidRPr="00B923C4">
        <w:rPr>
          <w:b/>
          <w:bCs/>
          <w:sz w:val="22"/>
          <w:szCs w:val="22"/>
        </w:rPr>
        <w:tab/>
      </w:r>
      <w:r w:rsidRPr="00B923C4">
        <w:rPr>
          <w:b/>
          <w:bCs/>
          <w:sz w:val="22"/>
          <w:szCs w:val="22"/>
        </w:rPr>
        <w:tab/>
        <w:t>ОТ ПРЕТЕНДЕНТА</w:t>
      </w:r>
    </w:p>
    <w:p w14:paraId="541AEB75" w14:textId="77777777" w:rsidR="005C0036" w:rsidRPr="00B923C4" w:rsidRDefault="005C0036" w:rsidP="005C0036">
      <w:pPr>
        <w:rPr>
          <w:sz w:val="22"/>
          <w:szCs w:val="22"/>
        </w:rPr>
      </w:pPr>
      <w:r w:rsidRPr="00B923C4">
        <w:rPr>
          <w:sz w:val="22"/>
          <w:szCs w:val="22"/>
        </w:rPr>
        <w:t>_____________________/ ____________/</w:t>
      </w:r>
      <w:r w:rsidRPr="00B923C4">
        <w:rPr>
          <w:sz w:val="22"/>
          <w:szCs w:val="22"/>
        </w:rPr>
        <w:tab/>
        <w:t xml:space="preserve">                       ________________________/_________</w:t>
      </w:r>
    </w:p>
    <w:p w14:paraId="65E74DFD" w14:textId="77777777" w:rsidR="00A056E9" w:rsidRPr="00B923C4" w:rsidRDefault="00A056E9" w:rsidP="005C0036">
      <w:pPr>
        <w:rPr>
          <w:sz w:val="22"/>
          <w:szCs w:val="22"/>
        </w:rPr>
      </w:pPr>
    </w:p>
    <w:sectPr w:rsidR="00A056E9" w:rsidRPr="00B923C4" w:rsidSect="00F0470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ewsGothic_A.Z_PS">
    <w:altName w:val="Courier New"/>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73B36"/>
    <w:multiLevelType w:val="hybridMultilevel"/>
    <w:tmpl w:val="14DA70B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16cid:durableId="1667779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13"/>
    <w:rsid w:val="000F6F79"/>
    <w:rsid w:val="0024536D"/>
    <w:rsid w:val="003E6BE2"/>
    <w:rsid w:val="004D43AB"/>
    <w:rsid w:val="005C0036"/>
    <w:rsid w:val="008E6C54"/>
    <w:rsid w:val="00A056E9"/>
    <w:rsid w:val="00A64213"/>
    <w:rsid w:val="00B923C4"/>
    <w:rsid w:val="00BE0B9B"/>
    <w:rsid w:val="00CD0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85E6"/>
  <w15:chartTrackingRefBased/>
  <w15:docId w15:val="{B7599D67-5721-4410-8E7A-29566384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036"/>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5C0036"/>
    <w:pPr>
      <w:autoSpaceDE w:val="0"/>
      <w:autoSpaceDN w:val="0"/>
      <w:jc w:val="center"/>
    </w:pPr>
    <w:rPr>
      <w:b/>
      <w:bCs/>
      <w:color w:val="auto"/>
      <w:sz w:val="28"/>
      <w:szCs w:val="28"/>
    </w:rPr>
  </w:style>
  <w:style w:type="character" w:customStyle="1" w:styleId="a5">
    <w:name w:val="Название Знак"/>
    <w:link w:val="a3"/>
    <w:rsid w:val="005C0036"/>
    <w:rPr>
      <w:rFonts w:ascii="Times New Roman" w:eastAsia="Times New Roman" w:hAnsi="Times New Roman" w:cs="Times New Roman"/>
      <w:b/>
      <w:bCs/>
      <w:sz w:val="28"/>
      <w:szCs w:val="28"/>
      <w:lang w:eastAsia="ru-RU"/>
    </w:rPr>
  </w:style>
  <w:style w:type="paragraph" w:styleId="a6">
    <w:name w:val="Block Text"/>
    <w:basedOn w:val="a"/>
    <w:rsid w:val="005C0036"/>
    <w:pPr>
      <w:autoSpaceDE w:val="0"/>
      <w:autoSpaceDN w:val="0"/>
      <w:ind w:left="-851" w:right="565" w:firstLine="284"/>
      <w:jc w:val="both"/>
    </w:pPr>
    <w:rPr>
      <w:color w:val="auto"/>
    </w:rPr>
  </w:style>
  <w:style w:type="character" w:styleId="a7">
    <w:name w:val="Strong"/>
    <w:uiPriority w:val="22"/>
    <w:qFormat/>
    <w:rsid w:val="005C0036"/>
    <w:rPr>
      <w:b/>
      <w:bCs/>
    </w:rPr>
  </w:style>
  <w:style w:type="paragraph" w:styleId="a4">
    <w:name w:val="Title"/>
    <w:basedOn w:val="a"/>
    <w:next w:val="a"/>
    <w:link w:val="a8"/>
    <w:uiPriority w:val="10"/>
    <w:qFormat/>
    <w:rsid w:val="005C0036"/>
    <w:pPr>
      <w:contextualSpacing/>
    </w:pPr>
    <w:rPr>
      <w:rFonts w:asciiTheme="majorHAnsi" w:eastAsiaTheme="majorEastAsia" w:hAnsiTheme="majorHAnsi" w:cstheme="majorBidi"/>
      <w:color w:val="auto"/>
      <w:spacing w:val="-10"/>
      <w:kern w:val="28"/>
      <w:sz w:val="56"/>
      <w:szCs w:val="56"/>
    </w:rPr>
  </w:style>
  <w:style w:type="character" w:customStyle="1" w:styleId="a8">
    <w:name w:val="Заголовок Знак"/>
    <w:basedOn w:val="a0"/>
    <w:link w:val="a4"/>
    <w:uiPriority w:val="10"/>
    <w:rsid w:val="005C0036"/>
    <w:rPr>
      <w:rFonts w:asciiTheme="majorHAnsi" w:eastAsiaTheme="majorEastAsia" w:hAnsiTheme="majorHAnsi" w:cstheme="majorBidi"/>
      <w:spacing w:val="-10"/>
      <w:kern w:val="28"/>
      <w:sz w:val="56"/>
      <w:szCs w:val="56"/>
      <w:lang w:eastAsia="ru-RU"/>
    </w:rPr>
  </w:style>
  <w:style w:type="character" w:customStyle="1" w:styleId="a9">
    <w:name w:val="Основной текст + Полужирный"/>
    <w:rsid w:val="005C0036"/>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styleId="aa">
    <w:name w:val="Hyperlink"/>
    <w:rsid w:val="005C0036"/>
    <w:rPr>
      <w:color w:val="0563C1"/>
      <w:u w:val="single"/>
    </w:rPr>
  </w:style>
  <w:style w:type="paragraph" w:customStyle="1" w:styleId="ab">
    <w:name w:val="готик текст"/>
    <w:rsid w:val="005C0036"/>
    <w:pPr>
      <w:tabs>
        <w:tab w:val="right" w:leader="dot" w:pos="4762"/>
      </w:tabs>
      <w:autoSpaceDE w:val="0"/>
      <w:autoSpaceDN w:val="0"/>
      <w:adjustRightInd w:val="0"/>
      <w:spacing w:after="0" w:line="240" w:lineRule="atLeast"/>
      <w:ind w:firstLine="283"/>
      <w:jc w:val="both"/>
    </w:pPr>
    <w:rPr>
      <w:rFonts w:ascii="NewsGothic_A.Z_PS" w:eastAsia="Calibri" w:hAnsi="NewsGothic_A.Z_PS" w:cs="NewsGothic_A.Z_PS"/>
      <w:color w:val="000000"/>
      <w:sz w:val="20"/>
      <w:szCs w:val="20"/>
      <w:lang w:eastAsia="ru-RU"/>
    </w:rPr>
  </w:style>
  <w:style w:type="character" w:customStyle="1" w:styleId="upper">
    <w:name w:val="upper"/>
    <w:basedOn w:val="a0"/>
    <w:rsid w:val="00245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nkruptcy.lot-online.ru" TargetMode="External"/><Relationship Id="rId5" Type="http://schemas.openxmlformats.org/officeDocument/2006/relationships/hyperlink" Target="http://bankruptcy.lot-on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1173</Words>
  <Characters>6689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Генералова Елена Сергеевна</dc:creator>
  <cp:keywords/>
  <dc:description/>
  <cp:lastModifiedBy>Генералова Елена Сергеевна</cp:lastModifiedBy>
  <cp:revision>8</cp:revision>
  <dcterms:created xsi:type="dcterms:W3CDTF">2021-08-13T03:37:00Z</dcterms:created>
  <dcterms:modified xsi:type="dcterms:W3CDTF">2022-06-28T00:51:00Z</dcterms:modified>
</cp:coreProperties>
</file>