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Style0"/>
        <w:tblW w:w="10395" w:type="dxa"/>
        <w:jc w:val="left"/>
        <w:tblInd w:w="0" w:type="dxa"/>
        <w:tblLayout w:type="fixed"/>
        <w:tblCellMar>
          <w:top w:w="0" w:type="dxa"/>
          <w:left w:w="108" w:type="dxa"/>
          <w:bottom w:w="0" w:type="dxa"/>
          <w:right w:w="108" w:type="dxa"/>
        </w:tblCellMar>
        <w:tblLook w:val="04a0"/>
      </w:tblPr>
      <w:tblGrid>
        <w:gridCol w:w="944"/>
        <w:gridCol w:w="945"/>
        <w:gridCol w:w="945"/>
        <w:gridCol w:w="945"/>
        <w:gridCol w:w="945"/>
        <w:gridCol w:w="946"/>
        <w:gridCol w:w="945"/>
        <w:gridCol w:w="945"/>
        <w:gridCol w:w="945"/>
        <w:gridCol w:w="945"/>
        <w:gridCol w:w="944"/>
      </w:tblGrid>
      <w:tr>
        <w:trPr>
          <w:trHeight w:val="6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ДОГОВОР</w:t>
            </w:r>
          </w:p>
        </w:tc>
      </w:tr>
      <w:tr>
        <w:trPr>
          <w:trHeight w:val="265"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купли-продажи</w:t>
            </w:r>
          </w:p>
        </w:tc>
      </w:tr>
      <w:tr>
        <w:trPr>
          <w:trHeight w:val="265" w:hRule="atLeast"/>
        </w:trPr>
        <w:tc>
          <w:tcPr>
            <w:tcW w:w="9450" w:type="dxa"/>
            <w:gridSpan w:val="10"/>
            <w:tcBorders/>
            <w:shd w:color="FFFFFF" w:fill="auto" w:val="clear"/>
          </w:tcPr>
          <w:p>
            <w:pPr>
              <w:pStyle w:val="Normal"/>
              <w:bidi w:val="0"/>
              <w:spacing w:lineRule="auto" w:line="240" w:before="0" w:after="0"/>
              <w:jc w:val="both"/>
              <w:rPr>
                <w:rFonts w:ascii="Times New Roman" w:hAnsi="Times New Roman"/>
                <w:sz w:val="20"/>
                <w:szCs w:val="20"/>
              </w:rPr>
            </w:pPr>
            <w:r>
              <w:rPr>
                <w:rFonts w:ascii="Arial" w:hAnsi="Arial"/>
                <w:kern w:val="0"/>
                <w:sz w:val="16"/>
                <w:szCs w:val="20"/>
              </w:rPr>
            </w:r>
          </w:p>
        </w:tc>
        <w:tc>
          <w:tcPr>
            <w:tcW w:w="944" w:type="dxa"/>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Мы, нижеподписавшиеся:</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Гражданин РФ Федоров Александр Владимирович (23.05.1980г.р., место рожд: с. Дебы Красногорского р-на Удмуртской АССР, адрес рег: 427952, Удмуртская Респ, Камбарский р-н, Камское с, Советская ул, дом № 22, квартира 12, СНИЛС08572539198, ИНН 183308073226, паспорт РФ серия 9417, номер 650468, выдан 18.10.2017, кем выдан ТП УФМС России по Удмурсткой Республике в Камбарском районе, код подразделения 180-018), в лице Гражданина РФ Финансового управляющего Кудашевой Елизаветы Владимировны (ИНН 740418776996, СНИЛС 16552968505, рег.номер 22151), действующего на основании решения Арбитражного суда Удмуртской Республики от 13.09.2023г. по делу №А71-7997/2023, именуемый в дальнейшем «Продавец», с одной стороны, и</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1. Предмет договора</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1.1.  В соответствии с проведенными торгами на сайте https://bankrot.fedresurs.ru сообщение о проведении торгов №           от          г. (путем прямых предложений) по продаже имущества  Федорова Александра Владимировича, а также по настоящему договору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ФОЛЬКСВАГЕН , модель: ТИГУАН, VIN: XW8ZZZ5NZ9G001389, год изготовления: 2008 (далее - Имущество).</w:t>
            </w:r>
          </w:p>
        </w:tc>
      </w:tr>
      <w:tr>
        <w:trPr>
          <w:trHeight w:val="60" w:hRule="atLeast"/>
        </w:trPr>
        <w:tc>
          <w:tcPr>
            <w:tcW w:w="10394" w:type="dxa"/>
            <w:gridSpan w:val="11"/>
            <w:tcBorders/>
            <w:shd w:color="FFFFFF" w:fill="FFFFFF"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1.2. Транспортное средство принадлежит супругу Продавца (Саяпиной Марине Сергеевне) на праве собственности на основании Паспорта транспортного средства , Свидетельства о регистрации ТС .</w:t>
              <w:br/>
              <w:t>В соответствии с Постановлением Пленума Верховного Суда Российской Федерации от 25 декабря 2018 г. N 48 г. Москва "О некоторых вопросах, связанных с особенностями формирования и распределения конкурсной массы в делах о банкротстве граждан" п.п. 7, 8.  В деле о банкротстве гражданина-должника, по общему правилу, подлежит реализации его личное имущество, а также имущество, принадлежащее ему и супругу (бывшему супругу) на праве общей собственности (пункт 7 статьи 21326 Закона о банкротстве, пункты 1 и 2 статьи 34, статья 36 СК РФ).</w:t>
              <w:br/>
              <w:t>Если супругами не заключались внесудебное соглашение о разделе общего имущества, брачный договор либо если судом не производился раздел общего имущества супругов, при определении долей супругов в этом имуществе следует исходить из презумпции равенства долей супругов в общем имуществе (пункт 1 статьи 39 СК РФ) и при отсутствии общих обязательств супругов перечислять супругу гражданина-должника половину средств, вырученных от реализации общего имущества супругов (до погашения текущих обязательств).</w:t>
              <w:br/>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 xml:space="preserve">1.3. На момент составления Договора купли-продажи на вышеуказанном имуществе обременения/ограничения </w:t>
            </w:r>
            <w:r>
              <w:rPr>
                <w:rFonts w:ascii="Times New Roman" w:hAnsi="Times New Roman"/>
                <w:kern w:val="0"/>
                <w:sz w:val="20"/>
                <w:szCs w:val="20"/>
              </w:rPr>
              <w:t>имеются.</w:t>
            </w:r>
          </w:p>
          <w:p>
            <w:pPr>
              <w:pStyle w:val="Normal"/>
              <w:bidi w:val="0"/>
              <w:spacing w:lineRule="auto" w:line="240" w:before="0" w:after="0"/>
              <w:jc w:val="both"/>
              <w:rPr/>
            </w:pPr>
            <w:bookmarkStart w:id="0" w:name="im-message-107898892"/>
            <w:bookmarkEnd w:id="0"/>
            <w:r>
              <w:rPr>
                <w:rFonts w:ascii="Times New Roman" w:hAnsi="Times New Roman"/>
                <w:kern w:val="0"/>
                <w:sz w:val="20"/>
                <w:szCs w:val="20"/>
              </w:rPr>
              <w:t>В соответствии с абз. 4 п. 5 ст. 213.25 ФЗ «О несостоятельности (банкротстве)» от 26 октября 2002 г. № 127-ФЗ с даты признания гражданина банкротом снимаются ранее наложенные аресты на имущество гражданина и иные ограничения распоряжения имуществом гражданина.</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pPr>
            <w:r>
              <w:rPr>
                <w:rFonts w:ascii="Times New Roman" w:hAnsi="Times New Roman"/>
                <w:kern w:val="0"/>
                <w:sz w:val="20"/>
                <w:szCs w:val="20"/>
              </w:rPr>
              <w:t xml:space="preserve">1.4. Имущество обеспечено обременением в виде залога в пользу АО "ТИНЬКОФФ БАНК" (ИНН 7710140679, ОГРН </w:t>
            </w:r>
            <w:r>
              <w:rPr>
                <w:rFonts w:ascii="Times New Roman" w:hAnsi="Times New Roman"/>
                <w:sz w:val="20"/>
                <w:szCs w:val="20"/>
                <w:shd w:fill="auto" w:val="clear"/>
              </w:rPr>
              <w:t>1027739642281</w:t>
            </w:r>
            <w:r>
              <w:rPr>
                <w:rFonts w:ascii="Times New Roman" w:hAnsi="Times New Roman"/>
                <w:kern w:val="0"/>
                <w:sz w:val="20"/>
                <w:szCs w:val="20"/>
              </w:rPr>
              <w:t>).</w:t>
              <w:br/>
              <w:t>Продажа имущества на торгах приводит к прекращению права залога (ипотеки) - пп. 4 п. 1 ст. 352 ГК РФ и абз. 6 п. 5 ст. 18.1 ФЗ «О несостоятельности (банкротстве)» от 26.10.2002 г. № 127-ФЗ.</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2. Обязанности Сторон</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2.1. Продавец обязуется:</w:t>
            </w:r>
          </w:p>
        </w:tc>
      </w:tr>
      <w:tr>
        <w:trPr>
          <w:trHeight w:val="27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2.1.1. Передать Покупателю имущество по акту приема-передачи.</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2.2. Покупатель обязан:</w:t>
            </w:r>
          </w:p>
        </w:tc>
      </w:tr>
      <w:tr>
        <w:trPr>
          <w:trHeight w:val="280" w:hRule="atLeast"/>
        </w:trPr>
        <w:tc>
          <w:tcPr>
            <w:tcW w:w="10394" w:type="dxa"/>
            <w:gridSpan w:val="11"/>
            <w:tcBorders/>
            <w:shd w:color="FFFFFF" w:fill="auto" w:val="clear"/>
            <w:vAlign w:val="bottom"/>
          </w:tcPr>
          <w:p>
            <w:pPr>
              <w:pStyle w:val="Normal"/>
              <w:bidi w:val="0"/>
              <w:spacing w:lineRule="auto" w:line="240" w:before="0" w:after="0"/>
              <w:jc w:val="left"/>
              <w:rPr>
                <w:rFonts w:ascii="Arial" w:hAnsi="Arial"/>
                <w:kern w:val="0"/>
                <w:sz w:val="16"/>
                <w:szCs w:val="20"/>
              </w:rPr>
            </w:pPr>
            <w:r>
              <w:rPr>
                <w:rFonts w:ascii="Times New Roman" w:hAnsi="Times New Roman"/>
                <w:kern w:val="0"/>
                <w:sz w:val="20"/>
                <w:szCs w:val="20"/>
              </w:rPr>
              <w:t>2.2.1. Оплатить полную стоимость имущества в соответствии с настоящим договором.</w:t>
            </w:r>
          </w:p>
        </w:tc>
      </w:tr>
      <w:tr>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3. Цена и порядок расчетов</w:t>
            </w:r>
          </w:p>
        </w:tc>
      </w:tr>
      <w:tr>
        <w:trPr/>
        <w:tc>
          <w:tcPr>
            <w:tcW w:w="10394" w:type="dxa"/>
            <w:gridSpan w:val="11"/>
            <w:tcBorders/>
            <w:shd w:color="FFFFFF" w:fill="auto" w:val="clear"/>
            <w:vAlign w:val="bottom"/>
          </w:tcPr>
          <w:p>
            <w:pPr>
              <w:pStyle w:val="Normal"/>
              <w:bidi w:val="0"/>
              <w:spacing w:lineRule="auto" w:line="240" w:before="0" w:after="0"/>
              <w:jc w:val="left"/>
              <w:rPr>
                <w:rFonts w:ascii="Arial" w:hAnsi="Arial"/>
                <w:kern w:val="0"/>
                <w:sz w:val="16"/>
                <w:szCs w:val="20"/>
              </w:rPr>
            </w:pPr>
            <w:r>
              <w:rPr>
                <w:rFonts w:ascii="Times New Roman" w:hAnsi="Times New Roman"/>
                <w:kern w:val="0"/>
                <w:sz w:val="20"/>
                <w:szCs w:val="20"/>
              </w:rPr>
              <w:t>3.1. Стоимость имущества составляет:</w:t>
              <w:br/>
              <w:t>(Ноль) рублей 00 копеек является окончательной и изменению не подлежит.</w:t>
            </w:r>
          </w:p>
        </w:tc>
      </w:tr>
      <w:tr>
        <w:trPr>
          <w:trHeight w:val="53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3.3. Оплата стоимости Имущества по настоящему договору осуществляется Покупателем безналичным платежом на расчетный счет:</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left"/>
              <w:rPr>
                <w:rFonts w:ascii="Arial" w:hAnsi="Arial"/>
                <w:kern w:val="0"/>
                <w:sz w:val="16"/>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Федорова Александра Владимировича 40817810650172937418</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left"/>
              <w:rPr>
                <w:rFonts w:ascii="Arial" w:hAnsi="Arial"/>
                <w:kern w:val="0"/>
                <w:sz w:val="16"/>
                <w:szCs w:val="20"/>
              </w:rPr>
            </w:pPr>
            <w:r>
              <w:rPr>
                <w:rFonts w:ascii="Times New Roman" w:hAnsi="Times New Roman"/>
                <w:kern w:val="0"/>
                <w:sz w:val="20"/>
                <w:szCs w:val="20"/>
              </w:rPr>
              <w:t>в течение тридцати дней с даты подписания настоящего договора.</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6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4. Передача имущества и переход риска случайной гибели имущества</w:t>
            </w:r>
          </w:p>
        </w:tc>
      </w:tr>
      <w:tr>
        <w:trPr>
          <w:trHeight w:val="93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8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5. Возникновение права собственности</w:t>
            </w:r>
          </w:p>
        </w:tc>
      </w:tr>
      <w:tr>
        <w:trPr>
          <w:trHeight w:val="101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5.1. Право собственности Имуществом возникает у Покупателя с момента подписания акта приема-передачи Имущества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6. Ответственность Сторон</w:t>
            </w:r>
          </w:p>
        </w:tc>
      </w:tr>
      <w:tr>
        <w:trPr>
          <w:trHeight w:val="51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3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7. Порядок разрешения споров</w:t>
            </w:r>
          </w:p>
        </w:tc>
      </w:tr>
      <w:tr>
        <w:trPr>
          <w:trHeight w:val="54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8. Условия изменения и расторжения договора</w:t>
            </w:r>
          </w:p>
        </w:tc>
      </w:tr>
      <w:tr>
        <w:trPr>
          <w:trHeight w:val="59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8.1. Расторжение настоящего договора осуществляется в порядке, предусмотренном законодательством Российской Федерации.</w:t>
            </w:r>
          </w:p>
        </w:tc>
      </w:tr>
      <w:tr>
        <w:trPr>
          <w:trHeight w:val="695" w:hRule="atLeas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r>
          </w:p>
        </w:tc>
      </w:tr>
      <w:tr>
        <w:trPr>
          <w:trHeight w:val="1670" w:hRule="atLeast"/>
        </w:trPr>
        <w:tc>
          <w:tcPr>
            <w:tcW w:w="10394" w:type="dxa"/>
            <w:gridSpan w:val="11"/>
            <w:tcBorders/>
            <w:shd w:color="FFFFFF" w:fill="auto" w:val="clear"/>
            <w:vAlign w:val="bottom"/>
          </w:tcPr>
          <w:p>
            <w:pPr>
              <w:pStyle w:val="Normal"/>
              <w:bidi w:val="0"/>
              <w:spacing w:lineRule="auto" w:line="240" w:before="0" w:after="0"/>
              <w:jc w:val="both"/>
              <w:rPr>
                <w:rFonts w:ascii="Times New Roman" w:hAnsi="Times New Roman"/>
                <w:sz w:val="20"/>
                <w:szCs w:val="20"/>
              </w:rPr>
            </w:pPr>
            <w:r>
              <w:rPr>
                <w:rFonts w:ascii="Times New Roman" w:hAnsi="Times New Roman"/>
                <w:kern w:val="0"/>
                <w:sz w:val="20"/>
                <w:szCs w:val="20"/>
              </w:rPr>
              <w:t>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9. Заключительные положения</w:t>
            </w:r>
          </w:p>
        </w:tc>
      </w:tr>
      <w:tr>
        <w:trPr>
          <w:trHeight w:val="59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9.2. Сторонами договора рассмотрены все документы, подготовленные в связи с продажей имущества.</w:t>
            </w:r>
          </w:p>
        </w:tc>
      </w:tr>
      <w:tr>
        <w:trPr>
          <w:trHeight w:val="26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9.3. Настоящий Договор составлен в 2-х экземплярах, имеющих одинаковую юридическую силу.</w:t>
            </w:r>
          </w:p>
        </w:tc>
      </w:tr>
      <w:tr>
        <w:trPr>
          <w:trHeight w:val="985" w:hRule="atLeast"/>
        </w:trPr>
        <w:tc>
          <w:tcPr>
            <w:tcW w:w="10394" w:type="dxa"/>
            <w:gridSpan w:val="11"/>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90" w:hRule="atLeast"/>
        </w:trPr>
        <w:tc>
          <w:tcPr>
            <w:tcW w:w="10394" w:type="dxa"/>
            <w:gridSpan w:val="11"/>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10. Реквизиты и подписи Сторон</w:t>
            </w:r>
          </w:p>
        </w:tc>
      </w:tr>
      <w:tr>
        <w:trPr>
          <w:trHeight w:val="290" w:hRule="atLeast"/>
        </w:trPr>
        <w:tc>
          <w:tcPr>
            <w:tcW w:w="4724" w:type="dxa"/>
            <w:gridSpan w:val="5"/>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Продавец:</w:t>
            </w:r>
          </w:p>
        </w:tc>
        <w:tc>
          <w:tcPr>
            <w:tcW w:w="5670" w:type="dxa"/>
            <w:gridSpan w:val="6"/>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Покупатель:</w:t>
            </w:r>
          </w:p>
        </w:tc>
      </w:tr>
      <w:tr>
        <w:trPr>
          <w:trHeight w:val="290" w:hRule="atLeast"/>
        </w:trPr>
        <w:tc>
          <w:tcPr>
            <w:tcW w:w="4724" w:type="dxa"/>
            <w:gridSpan w:val="5"/>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Гражданин РФ</w:t>
            </w:r>
          </w:p>
        </w:tc>
        <w:tc>
          <w:tcPr>
            <w:tcW w:w="5670" w:type="dxa"/>
            <w:gridSpan w:val="6"/>
            <w:tcBorders/>
            <w:shd w:color="FFFFFF" w:fill="auto" w:val="clear"/>
            <w:vAlign w:val="bottom"/>
          </w:tcPr>
          <w:p>
            <w:pPr>
              <w:pStyle w:val="Normal"/>
              <w:bidi w:val="0"/>
              <w:spacing w:lineRule="auto" w:line="240" w:before="0" w:after="0"/>
              <w:jc w:val="center"/>
              <w:rPr>
                <w:rFonts w:ascii="Arial" w:hAnsi="Arial"/>
                <w:kern w:val="0"/>
                <w:sz w:val="16"/>
                <w:szCs w:val="20"/>
              </w:rPr>
            </w:pPr>
            <w:r>
              <w:rPr>
                <w:rFonts w:ascii="Times New Roman" w:hAnsi="Times New Roman"/>
                <w:b/>
                <w:kern w:val="0"/>
                <w:sz w:val="20"/>
                <w:szCs w:val="20"/>
              </w:rPr>
              <w:t>Гражданин РФ</w:t>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b/>
                <w:kern w:val="0"/>
                <w:sz w:val="20"/>
                <w:szCs w:val="20"/>
              </w:rPr>
              <w:t>Федоров Александр Владимирович (23.05.1980г.р., место рожд: с. Дебы Красногорского р-на Удмуртской АССР, адрес рег: 427952, Удмуртская Респ, Камбарский р-н, Камское с, Советская ул, дом № 22, квартира 12, СНИЛС08572539198, ИНН 183308073226, паспорт РФ серия 9417, номер 650468, выдан 18.10.2017, кем выдан ТП УФМС России по Удмурсткой Республике в Камбарском районе, код подразделения 180-018)</w:t>
            </w:r>
          </w:p>
        </w:tc>
        <w:tc>
          <w:tcPr>
            <w:tcW w:w="5670" w:type="dxa"/>
            <w:gridSpan w:val="6"/>
            <w:vMerge w:val="restart"/>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kern w:val="0"/>
                <w:sz w:val="20"/>
                <w:szCs w:val="20"/>
              </w:rPr>
              <w:t>Наименование банка: ФИЛИАЛ "ЦЕНТРАЛЬНЫЙ" ПАО "СОВКОМБАНК"</w:t>
              <w:br/>
              <w:t>ИНН 4401116480</w:t>
              <w:br/>
              <w:t>ОГРН 1144400000425</w:t>
              <w:br/>
              <w:t>БИК 045004763</w:t>
              <w:br/>
              <w:t>КПП 440101001</w:t>
              <w:br/>
              <w:t>к/сч 30101810150040000763</w:t>
              <w:br/>
              <w:t>счет Федорова Александра Владимировича 40817810650172937418</w:t>
            </w:r>
          </w:p>
        </w:tc>
        <w:tc>
          <w:tcPr>
            <w:tcW w:w="5670" w:type="dxa"/>
            <w:gridSpan w:val="6"/>
            <w:vMerge w:val="continue"/>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944"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5670" w:type="dxa"/>
            <w:gridSpan w:val="6"/>
            <w:vMerge w:val="continue"/>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b/>
                <w:kern w:val="0"/>
                <w:sz w:val="20"/>
                <w:szCs w:val="20"/>
              </w:rPr>
              <w:t>Финансовый управляющий</w:t>
            </w:r>
          </w:p>
        </w:tc>
        <w:tc>
          <w:tcPr>
            <w:tcW w:w="5670" w:type="dxa"/>
            <w:gridSpan w:val="6"/>
            <w:vMerge w:val="continue"/>
            <w:tcBorders/>
            <w:shd w:color="FFFFFF" w:fill="auto" w:val="clear"/>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b/>
                <w:kern w:val="0"/>
                <w:sz w:val="20"/>
                <w:szCs w:val="20"/>
              </w:rPr>
              <w:t>Федорова Александра Владимировича</w:t>
            </w:r>
          </w:p>
        </w:tc>
        <w:tc>
          <w:tcPr>
            <w:tcW w:w="946"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tcPr>
          <w:p>
            <w:pPr>
              <w:pStyle w:val="Normal"/>
              <w:bidi w:val="0"/>
              <w:spacing w:lineRule="auto" w:line="240" w:before="0" w:after="0"/>
              <w:jc w:val="right"/>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5"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944" w:type="dxa"/>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r>
        <w:trPr/>
        <w:tc>
          <w:tcPr>
            <w:tcW w:w="4724" w:type="dxa"/>
            <w:gridSpan w:val="5"/>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Times New Roman" w:hAnsi="Times New Roman"/>
                <w:b/>
                <w:kern w:val="0"/>
                <w:sz w:val="20"/>
                <w:szCs w:val="20"/>
              </w:rPr>
              <w:t>Кудашева Елизавета Владимировна</w:t>
            </w:r>
          </w:p>
        </w:tc>
        <w:tc>
          <w:tcPr>
            <w:tcW w:w="2836" w:type="dxa"/>
            <w:gridSpan w:val="3"/>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c>
          <w:tcPr>
            <w:tcW w:w="2834" w:type="dxa"/>
            <w:gridSpan w:val="3"/>
            <w:tcBorders/>
            <w:shd w:color="FFFFFF" w:fill="auto" w:val="clear"/>
            <w:vAlign w:val="bottom"/>
          </w:tcPr>
          <w:p>
            <w:pPr>
              <w:pStyle w:val="Normal"/>
              <w:bidi w:val="0"/>
              <w:spacing w:lineRule="auto" w:line="240" w:before="0" w:after="0"/>
              <w:jc w:val="both"/>
              <w:rPr>
                <w:rFonts w:ascii="Arial" w:hAnsi="Arial"/>
                <w:kern w:val="0"/>
                <w:sz w:val="16"/>
                <w:szCs w:val="20"/>
              </w:rPr>
            </w:pPr>
            <w:r>
              <w:rPr>
                <w:rFonts w:ascii="Arial" w:hAnsi="Arial"/>
                <w:kern w:val="0"/>
                <w:sz w:val="16"/>
                <w:szCs w:val="20"/>
              </w:rPr>
            </w:r>
          </w:p>
        </w:tc>
      </w:tr>
    </w:tbl>
    <w:sectPr>
      <w:type w:val="nextPage"/>
      <w:pgSz w:w="11906" w:h="16838"/>
      <w:pgMar w:left="567" w:right="567" w:gutter="0" w:header="0" w:top="567" w:footer="0" w:bottom="56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kern w:val="2"/>
        <w:sz w:val="22"/>
        <w:szCs w:val="24"/>
        <w:lang w:val="ru-RU"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Arial"/>
      <w:color w:val="auto"/>
      <w:kern w:val="2"/>
      <w:sz w:val="22"/>
      <w:szCs w:val="24"/>
      <w:lang w:val="ru-RU" w:eastAsia="zh-CN" w:bidi="hi-IN"/>
    </w:rPr>
  </w:style>
  <w:style w:type="character" w:styleId="Hyperlink">
    <w:name w:val="Hyperlink"/>
    <w:rPr>
      <w:color w:val="000080"/>
      <w:u w:val="single"/>
    </w:rPr>
  </w:style>
  <w:style w:type="paragraph" w:styleId="Style14">
    <w:name w:val="Заголовок"/>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Style15">
    <w:name w:val="Указатель"/>
    <w:basedOn w:val="Normal"/>
    <w:qFormat/>
    <w:pPr>
      <w:suppressLineNumbers/>
    </w:pPr>
    <w:rPr>
      <w:rFonts w:cs="Arial"/>
    </w:rPr>
  </w:style>
  <w:style w:type="table" w:styleId="TableStyle0">
    <w:name w:val="TableStyle0"/>
    <w:pPr>
      <w:spacing w:after="0" w:line="240" w:lineRule="auto"/>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
  <TotalTime>4</TotalTime>
  <Application>LibreOffice/7.6.4.1$Windows_X86_64 LibreOffice_project/e19e193f88cd6c0525a17fb7a176ed8e6a3e2aa1</Application>
  <AppVersion>15.0000</AppVersion>
  <Pages>3</Pages>
  <Words>1351</Words>
  <Characters>9423</Characters>
  <CharactersWithSpaces>10742</CharactersWithSpaces>
  <Paragraphs>57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2024-03-26T15:17:09Z</dcterms:modified>
  <cp:revision>1</cp:revision>
  <dc:subject/>
  <dc:title/>
</cp:coreProperties>
</file>