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238FE87A" w:rsidR="00B078A0" w:rsidRPr="005A7D1D" w:rsidRDefault="009D6A5C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A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6A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6A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6A5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D6A5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D6A5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Pr="009D6A5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4252E889" w14:textId="77777777" w:rsidR="00B078A0" w:rsidRPr="00DC1FA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C1FAB">
        <w:rPr>
          <w:rFonts w:ascii="Times New Roman" w:hAnsi="Times New Roman" w:cs="Times New Roman"/>
          <w:color w:val="000000"/>
          <w:sz w:val="24"/>
          <w:szCs w:val="24"/>
        </w:rPr>
        <w:t>Торгов ППП является следующее имущество:</w:t>
      </w:r>
    </w:p>
    <w:p w14:paraId="01AF98D4" w14:textId="62D64392" w:rsidR="00B078A0" w:rsidRPr="00DC1FA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FA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2A1CAEA0" w:rsidR="0032082C" w:rsidRPr="005A7D1D" w:rsidRDefault="00927225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FAB">
        <w:rPr>
          <w:rFonts w:ascii="Times New Roman" w:hAnsi="Times New Roman" w:cs="Times New Roman"/>
          <w:color w:val="000000"/>
          <w:sz w:val="24"/>
          <w:szCs w:val="24"/>
        </w:rPr>
        <w:t>Лот 1 - ООО ФИРМА «ПРЕМЬЕР-ЦЕНТР», ИНН 6321031442</w:t>
      </w:r>
      <w:r w:rsidRPr="00927225">
        <w:rPr>
          <w:rFonts w:ascii="Times New Roman" w:hAnsi="Times New Roman" w:cs="Times New Roman"/>
          <w:color w:val="000000"/>
          <w:sz w:val="24"/>
          <w:szCs w:val="24"/>
        </w:rPr>
        <w:t>, КД 2076 от 05.02.2014, КД 2090 от 14.02.2014, КД 2099 от 21.02.2014, КД 2109 от 25.02.2014, КД 2831 от 23.03.2015, КД 4062 от 27.08.2015, г. Тольятти (145 889 175,15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27225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225">
        <w:rPr>
          <w:rFonts w:ascii="Times New Roman" w:hAnsi="Times New Roman" w:cs="Times New Roman"/>
          <w:color w:val="000000"/>
          <w:sz w:val="24"/>
          <w:szCs w:val="24"/>
        </w:rPr>
        <w:t>388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225">
        <w:rPr>
          <w:rFonts w:ascii="Times New Roman" w:hAnsi="Times New Roman" w:cs="Times New Roman"/>
          <w:color w:val="000000"/>
          <w:sz w:val="24"/>
          <w:szCs w:val="24"/>
        </w:rPr>
        <w:t>582,74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7CD450F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7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апреля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27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июня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27225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</w:t>
      </w:r>
      <w:r w:rsidRPr="00927225">
        <w:rPr>
          <w:rFonts w:ascii="Times New Roman" w:hAnsi="Times New Roman" w:cs="Times New Roman"/>
          <w:color w:val="000000"/>
          <w:sz w:val="24"/>
          <w:szCs w:val="24"/>
        </w:rPr>
        <w:t>далее – Оператор) обеспечивает проведение Торгов.</w:t>
      </w:r>
    </w:p>
    <w:p w14:paraId="7C30B64D" w14:textId="2EEF3D95" w:rsidR="0003404B" w:rsidRPr="00927225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225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27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27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27225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927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225" w:rsidRPr="00927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апреля 2024</w:t>
      </w:r>
      <w:r w:rsidR="00B078A0" w:rsidRPr="009272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927225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92722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2722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92722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2722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27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927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927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927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9272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27225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927225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92722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272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22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5F3A9A2" w14:textId="0664F34D" w:rsidR="00737B41" w:rsidRPr="00737B41" w:rsidRDefault="00737B41" w:rsidP="00737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B41">
        <w:rPr>
          <w:rFonts w:ascii="Times New Roman" w:hAnsi="Times New Roman" w:cs="Times New Roman"/>
          <w:color w:val="000000"/>
          <w:sz w:val="24"/>
          <w:szCs w:val="24"/>
        </w:rPr>
        <w:t>с 16 апреля 2024 г. по 30 мая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37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BFAAEE" w14:textId="27147307" w:rsidR="00737B41" w:rsidRPr="00737B41" w:rsidRDefault="00737B41" w:rsidP="00737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B41">
        <w:rPr>
          <w:rFonts w:ascii="Times New Roman" w:hAnsi="Times New Roman" w:cs="Times New Roman"/>
          <w:color w:val="000000"/>
          <w:sz w:val="24"/>
          <w:szCs w:val="24"/>
        </w:rPr>
        <w:t xml:space="preserve">с 31 мая 2024 г. по 02 июня 2024 г. - в размере 91,70% от начальной цены продажи </w:t>
      </w:r>
      <w:r w:rsidRPr="00737B4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7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0D48B4" w14:textId="72074BA1" w:rsidR="00737B41" w:rsidRPr="00737B41" w:rsidRDefault="00737B41" w:rsidP="00737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B41">
        <w:rPr>
          <w:rFonts w:ascii="Times New Roman" w:hAnsi="Times New Roman" w:cs="Times New Roman"/>
          <w:color w:val="000000"/>
          <w:sz w:val="24"/>
          <w:szCs w:val="24"/>
        </w:rPr>
        <w:t xml:space="preserve">с 03 июня 2024 г. по 05 июня 2024 г. - в размере 83,40% от начальной цены продажи </w:t>
      </w:r>
      <w:r w:rsidRPr="00737B4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7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AAC582" w14:textId="6EFACA70" w:rsidR="00737B41" w:rsidRPr="00737B41" w:rsidRDefault="00737B41" w:rsidP="00737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B41">
        <w:rPr>
          <w:rFonts w:ascii="Times New Roman" w:hAnsi="Times New Roman" w:cs="Times New Roman"/>
          <w:color w:val="000000"/>
          <w:sz w:val="24"/>
          <w:szCs w:val="24"/>
        </w:rPr>
        <w:t xml:space="preserve">с 06 июня 2024 г. по 08 июня 2024 г. - в размере 75,10% от начальной цены продажи </w:t>
      </w:r>
      <w:r w:rsidRPr="00737B4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37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5A90CEA2" w:rsidR="00B80E51" w:rsidRDefault="00737B4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B41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2024 г. по 11 июня 2024 г. - в размере 66,80% от начальной цены продажи </w:t>
      </w:r>
      <w:r w:rsidRPr="00737B4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DC1FA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DC1FAB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DC1FA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1FAB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DC1F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DC1FA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C3331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FA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C3331E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C3331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31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C3331E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31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158E4367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3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3331E" w:rsidRPr="00C33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г. Самара, ул. Урицкого, д. 19, БЦ «Деловой Мир», 12 этаж, тел</w:t>
      </w:r>
      <w:bookmarkStart w:id="0" w:name="_GoBack"/>
      <w:bookmarkEnd w:id="0"/>
      <w:r w:rsidR="00C3331E" w:rsidRPr="00C33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8-800-505-80-32; у ОТ: pf@auction-house.ru, Соболькова Елена 8(927)208-15-34 (</w:t>
      </w:r>
      <w:proofErr w:type="gramStart"/>
      <w:r w:rsidR="00C3331E" w:rsidRPr="00C33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C3331E" w:rsidRPr="00C33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478E8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37B41"/>
    <w:rsid w:val="00762232"/>
    <w:rsid w:val="00775C5B"/>
    <w:rsid w:val="007840A2"/>
    <w:rsid w:val="007A10EE"/>
    <w:rsid w:val="007E3D68"/>
    <w:rsid w:val="007F641B"/>
    <w:rsid w:val="00800421"/>
    <w:rsid w:val="00806741"/>
    <w:rsid w:val="008B15CE"/>
    <w:rsid w:val="008C4892"/>
    <w:rsid w:val="008F1609"/>
    <w:rsid w:val="008F6C92"/>
    <w:rsid w:val="00927225"/>
    <w:rsid w:val="00953DA4"/>
    <w:rsid w:val="009804F8"/>
    <w:rsid w:val="009827DF"/>
    <w:rsid w:val="00987A46"/>
    <w:rsid w:val="009D6A5C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3331E"/>
    <w:rsid w:val="00C56153"/>
    <w:rsid w:val="00C66976"/>
    <w:rsid w:val="00D02882"/>
    <w:rsid w:val="00D115EC"/>
    <w:rsid w:val="00D16130"/>
    <w:rsid w:val="00D72F12"/>
    <w:rsid w:val="00D83FC6"/>
    <w:rsid w:val="00DC1FAB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1519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53</cp:revision>
  <cp:lastPrinted>2023-11-14T11:42:00Z</cp:lastPrinted>
  <dcterms:created xsi:type="dcterms:W3CDTF">2019-07-23T07:53:00Z</dcterms:created>
  <dcterms:modified xsi:type="dcterms:W3CDTF">2024-04-05T07:18:00Z</dcterms:modified>
</cp:coreProperties>
</file>