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Любицкая Дарья Юрьевна (17.01.2004г.р., место рожд: Российская Федерация г. Бикин Хабаровский край, адрес рег: 682970, Хабаровский край, Бикин г, Фабричная ул, дом № 37, квартира 17, СНИЛС20037669737, ИНН 270700287101, паспорт РФ серия 0817, номер 495624, выдан 13.02.2018, кем выдан УМВД России по Хабаровскому краю, код подразделения 270-012),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Хабаровского края от 09.10.2023г. по делу №А73-13518/2023,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22.04.2024г. по продаже имущества Любицкой Дарьи Юрьевны,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Комната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22.04.2024г. на сайте https://lot-online.ru/, и указана в Протоколе  от 22.04.2024г.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Любицкой Дарьи Юрьевны 40817810550171201698</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Любицкая Дарья Юрьевна (17.01.2004г.р., место рожд: Российская Федерация г. Бикин Хабаровский край, адрес рег: 682970, Хабаровский край, Бикин г, Фабричная ул, дом № 37, квартира 17, СНИЛС20037669737, ИНН 270700287101, паспорт РФ серия 0817, номер 495624, выдан 13.02.2018, кем выдан УМВД России по Хабаровскому краю, код подразделения 270-012)</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Любицкой Дарьи Юрьевны 40817810550171201698</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Любицкой Дарьи Юрьевны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